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hd w:fill="1a5c38" w:val="clear"/>
        <w:spacing w:after="20" w:before="300"/>
        <w:jc w:val="center"/>
      </w:pPr>
      <w:r>
        <w:rPr>
          <w:b/>
          <w:bCs/>
          <w:color w:val="FFFFFF"/>
          <w:spacing w:val="8"/>
          <w:sz w:val="30"/>
          <w:szCs w:val="30"/>
        </w:rPr>
        <w:t xml:space="preserve">ATM BROKER &amp; LOCATION-FINDER AGREEMENT</w:t>
      </w:r>
    </w:p>
    <w:p>
      <w:pPr>
        <w:pBdr>
          <w:bottom w:val="single" w:color="b0892f" w:sz="18" w:space="0"/>
        </w:pBdr>
        <w:shd w:fill="1a5c38" w:val="clear"/>
        <w:spacing w:after="300"/>
        <w:jc w:val="center"/>
      </w:pPr>
      <w:r>
        <w:rPr>
          <w:i/>
          <w:iCs/>
          <w:color w:val="d8e8de"/>
          <w:sz w:val="19"/>
          <w:szCs w:val="19"/>
        </w:rPr>
        <w:t xml:space="preserve">Between the ATM Operator and the Broker</w:t>
      </w:r>
    </w:p>
    <w:p>
      <w:pPr>
        <w:spacing w:after="130" w:before="80"/>
      </w:pPr>
      <w:r>
        <w:rPr>
          <w:b/>
          <w:bCs/>
          <w:color w:val="1a5c38"/>
          <w:sz w:val="19"/>
          <w:szCs w:val="19"/>
        </w:rPr>
        <w:t xml:space="preserve">Best for:  </w:t>
      </w:r>
      <w:r>
        <w:rPr>
          <w:color w:val="2f3a33"/>
          <w:sz w:val="19"/>
          <w:szCs w:val="19"/>
        </w:rPr>
        <w:t xml:space="preserve">operators who pay someone to bring them locations: a bird-dog, a salesperson, a well-connected local, or another operator referring sites they cannot service. The broker finds the door; you still own the machine, the cash, and the deal.</w:t>
      </w:r>
    </w:p>
    <w:p>
      <w:pPr>
        <w:spacing w:after="120" w:line="276"/>
        <w:jc w:val="both"/>
      </w:pPr>
      <w:r>
        <w:rPr>
          <w:sz w:val="21"/>
          <w:szCs w:val="21"/>
        </w:rPr>
        <w:t xml:space="preserve">This Agreement is made on the Effective Date below between the Operator and the Broker identified here. Fill in the parties, the referred locations, the Deal Terms, and the Pay Schedule, then sign. The numbered Terms that follow bind both parties.</w:t>
      </w:r>
    </w:p>
    <w:p>
      <w:pPr>
        <w:keepNext/>
        <w:pBdr>
          <w:bottom w:val="single" w:color="1a5c38" w:sz="8" w:space="3"/>
        </w:pBdr>
        <w:spacing w:after="90" w:before="230"/>
      </w:pPr>
      <w:r>
        <w:rPr>
          <w:b/>
          <w:bCs/>
          <w:color w:val="1a5c38"/>
          <w:spacing w:val="14"/>
          <w:sz w:val="19"/>
          <w:szCs w:val="19"/>
        </w:rPr>
        <w:t xml:space="preserve">1  ·  THE PARTIES</w:t>
      </w:r>
    </w:p>
    <w:tbl>
      <w:tblPr>
        <w:tblW w:type="dxa" w:w="9360"/>
        <w:tblBorders>
          <w:top w:val="single" w:color="1a5c38" w:sz="10"/>
          <w:left w:val="single" w:color="1a5c38" w:sz="10"/>
          <w:bottom w:val="single" w:color="1a5c38" w:sz="10"/>
          <w:right w:val="single" w:color="1a5c38" w:sz="10"/>
          <w:insideH w:val="none"/>
          <w:insideV w:val="single" w:color="1a5c38" w:sz="8"/>
        </w:tblBorders>
      </w:tblPr>
      <w:tblGrid>
        <w:gridCol w:w="4680"/>
        <w:gridCol w:w="4680"/>
      </w:tblGrid>
      <w:tr>
        <w:tc>
          <w:tcPr>
            <w:tcW w:type="dxa" w:w="4680"/>
            <w:tcBorders>
              <w:top w:val="none"/>
              <w:left w:val="none"/>
              <w:bottom w:val="none"/>
              <w:right w:val="none"/>
            </w:tcBorders>
            <w:tcMar>
              <w:top w:type="dxa" w:w="120"/>
              <w:left w:type="dxa" w:w="170"/>
              <w:bottom w:type="dxa" w:w="140"/>
              <w:right w:type="dxa" w:w="170"/>
            </w:tcMar>
          </w:tcPr>
          <w:p>
            <w:pPr>
              <w:spacing w:after="2"/>
            </w:pPr>
            <w:r>
              <w:rPr>
                <w:b/>
                <w:bCs/>
                <w:color w:val="1a5c38"/>
                <w:sz w:val="20"/>
                <w:szCs w:val="20"/>
              </w:rPr>
              <w:t xml:space="preserve">OPERATOR  (you)</w:t>
            </w:r>
          </w:p>
          <w:p>
            <w:pPr>
              <w:spacing w:after="20"/>
            </w:pPr>
            <w:r>
              <w:rPr>
                <w:i/>
                <w:iCs/>
                <w:color w:val="555555"/>
                <w:sz w:val="16"/>
                <w:szCs w:val="16"/>
              </w:rPr>
              <w:t xml:space="preserve">the ATM owner who places the machines</w:t>
            </w:r>
          </w:p>
          <w:p>
            <w:pPr>
              <w:pBdr>
                <w:bottom w:val="single" w:color="9aa39d" w:sz="6" w:space="3"/>
              </w:pBdr>
              <w:spacing w:after="20" w:before="200"/>
            </w:pPr>
            <w:r>
              <w:rPr>
                <w:sz w:val="20"/>
                <w:szCs w:val="20"/>
              </w:rPr>
              <w:t xml:space="preserve"/>
            </w:r>
          </w:p>
          <w:p>
            <w:pPr>
              <w:spacing w:after="10"/>
            </w:pPr>
            <w:r>
              <w:rPr>
                <w:color w:val="555555"/>
                <w:sz w:val="16"/>
                <w:szCs w:val="16"/>
              </w:rPr>
              <w:t xml:space="preserve">Legal business name &amp; entity</w:t>
            </w:r>
          </w:p>
          <w:p>
            <w:pPr>
              <w:pBdr>
                <w:bottom w:val="single" w:color="9aa39d" w:sz="6" w:space="3"/>
              </w:pBdr>
              <w:spacing w:after="20" w:before="300"/>
            </w:pPr>
            <w:r>
              <w:rPr>
                <w:sz w:val="20"/>
                <w:szCs w:val="20"/>
              </w:rPr>
              <w:t xml:space="preserve"/>
            </w:r>
          </w:p>
          <w:p>
            <w:pPr>
              <w:spacing w:after="10"/>
            </w:pPr>
            <w:r>
              <w:rPr>
                <w:color w:val="555555"/>
                <w:sz w:val="16"/>
                <w:szCs w:val="16"/>
              </w:rPr>
              <w:t xml:space="preserve">State of formation</w:t>
            </w:r>
          </w:p>
          <w:p>
            <w:pPr>
              <w:pBdr>
                <w:bottom w:val="single" w:color="9aa39d" w:sz="6" w:space="3"/>
              </w:pBdr>
              <w:spacing w:after="20" w:before="300"/>
            </w:pPr>
            <w:r>
              <w:rPr>
                <w:sz w:val="20"/>
                <w:szCs w:val="20"/>
              </w:rPr>
              <w:t xml:space="preserve"/>
            </w:r>
          </w:p>
          <w:p>
            <w:pPr>
              <w:spacing w:after="10"/>
            </w:pPr>
            <w:r>
              <w:rPr>
                <w:color w:val="555555"/>
                <w:sz w:val="16"/>
                <w:szCs w:val="16"/>
              </w:rPr>
              <w:t xml:space="preserve">Business mailing address</w:t>
            </w:r>
          </w:p>
          <w:p>
            <w:pPr>
              <w:pBdr>
                <w:bottom w:val="single" w:color="9aa39d" w:sz="6" w:space="3"/>
              </w:pBdr>
              <w:spacing w:after="20" w:before="300"/>
            </w:pPr>
            <w:r>
              <w:rPr>
                <w:sz w:val="20"/>
                <w:szCs w:val="20"/>
              </w:rPr>
              <w:t xml:space="preserve"/>
            </w:r>
          </w:p>
          <w:p>
            <w:pPr>
              <w:spacing w:after="10"/>
            </w:pPr>
            <w:r>
              <w:rPr>
                <w:color w:val="555555"/>
                <w:sz w:val="16"/>
                <w:szCs w:val="16"/>
              </w:rPr>
              <w:t xml:space="preserve">Contact name  /  phone  /  email</w:t>
            </w:r>
          </w:p>
        </w:tc>
        <w:tc>
          <w:tcPr>
            <w:tcW w:type="dxa" w:w="4680"/>
            <w:tcBorders>
              <w:top w:val="none"/>
              <w:left w:val="none"/>
              <w:bottom w:val="none"/>
              <w:right w:val="none"/>
            </w:tcBorders>
            <w:tcMar>
              <w:top w:type="dxa" w:w="120"/>
              <w:left w:type="dxa" w:w="170"/>
              <w:bottom w:type="dxa" w:w="140"/>
              <w:right w:type="dxa" w:w="170"/>
            </w:tcMar>
          </w:tcPr>
          <w:p>
            <w:pPr>
              <w:spacing w:after="2"/>
            </w:pPr>
            <w:r>
              <w:rPr>
                <w:b/>
                <w:bCs/>
                <w:color w:val="1a5c38"/>
                <w:sz w:val="20"/>
                <w:szCs w:val="20"/>
              </w:rPr>
              <w:t xml:space="preserve">BROKER  (who brings sites)</w:t>
            </w:r>
          </w:p>
          <w:p>
            <w:pPr>
              <w:spacing w:after="20"/>
            </w:pPr>
            <w:r>
              <w:rPr>
                <w:i/>
                <w:iCs/>
                <w:color w:val="555555"/>
                <w:sz w:val="16"/>
                <w:szCs w:val="16"/>
              </w:rPr>
              <w:t xml:space="preserve">the finder introducing locations</w:t>
            </w:r>
          </w:p>
          <w:p>
            <w:pPr>
              <w:pBdr>
                <w:bottom w:val="single" w:color="9aa39d" w:sz="6" w:space="3"/>
              </w:pBdr>
              <w:spacing w:after="20" w:before="200"/>
            </w:pPr>
            <w:r>
              <w:rPr>
                <w:sz w:val="20"/>
                <w:szCs w:val="20"/>
              </w:rPr>
              <w:t xml:space="preserve"/>
            </w:r>
          </w:p>
          <w:p>
            <w:pPr>
              <w:spacing w:after="10"/>
            </w:pPr>
            <w:r>
              <w:rPr>
                <w:color w:val="555555"/>
                <w:sz w:val="16"/>
                <w:szCs w:val="16"/>
              </w:rPr>
              <w:t xml:space="preserve">Full legal name or business</w:t>
            </w:r>
          </w:p>
          <w:p>
            <w:pPr>
              <w:pBdr>
                <w:bottom w:val="single" w:color="9aa39d" w:sz="6" w:space="3"/>
              </w:pBdr>
              <w:spacing w:after="20" w:before="300"/>
            </w:pPr>
            <w:r>
              <w:rPr>
                <w:sz w:val="20"/>
                <w:szCs w:val="20"/>
              </w:rPr>
              <w:t xml:space="preserve"/>
            </w:r>
          </w:p>
          <w:p>
            <w:pPr>
              <w:spacing w:after="10"/>
            </w:pPr>
            <w:r>
              <w:rPr>
                <w:color w:val="555555"/>
                <w:sz w:val="16"/>
                <w:szCs w:val="16"/>
              </w:rPr>
              <w:t xml:space="preserve">Address</w:t>
            </w:r>
          </w:p>
          <w:p>
            <w:pPr>
              <w:pBdr>
                <w:bottom w:val="single" w:color="9aa39d" w:sz="6" w:space="3"/>
              </w:pBdr>
              <w:spacing w:after="20" w:before="300"/>
            </w:pPr>
            <w:r>
              <w:rPr>
                <w:sz w:val="20"/>
                <w:szCs w:val="20"/>
              </w:rPr>
              <w:t xml:space="preserve"/>
            </w:r>
          </w:p>
          <w:p>
            <w:pPr>
              <w:spacing w:after="10"/>
            </w:pPr>
            <w:r>
              <w:rPr>
                <w:color w:val="555555"/>
                <w:sz w:val="16"/>
                <w:szCs w:val="16"/>
              </w:rPr>
              <w:t xml:space="preserve">Phone  /  email</w:t>
            </w:r>
          </w:p>
          <w:p>
            <w:pPr>
              <w:pBdr>
                <w:bottom w:val="single" w:color="9aa39d" w:sz="6" w:space="3"/>
              </w:pBdr>
              <w:spacing w:after="20" w:before="300"/>
            </w:pPr>
            <w:r>
              <w:rPr>
                <w:sz w:val="20"/>
                <w:szCs w:val="20"/>
              </w:rPr>
              <w:t xml:space="preserve"/>
            </w:r>
          </w:p>
          <w:p>
            <w:pPr>
              <w:spacing w:after="10"/>
            </w:pPr>
            <w:r>
              <w:rPr>
                <w:color w:val="555555"/>
                <w:sz w:val="16"/>
                <w:szCs w:val="16"/>
              </w:rPr>
              <w:t xml:space="preserve">How commission is paid (ACH details / EIN)</w:t>
            </w:r>
          </w:p>
        </w:tc>
      </w:tr>
    </w:tbl>
    <w:p>
      <w:pPr>
        <w:keepNext/>
        <w:pBdr>
          <w:bottom w:val="single" w:color="1a5c38" w:sz="8" w:space="3"/>
        </w:pBdr>
        <w:spacing w:after="90" w:before="230"/>
      </w:pPr>
      <w:r>
        <w:rPr>
          <w:b/>
          <w:bCs/>
          <w:color w:val="1a5c38"/>
          <w:spacing w:val="14"/>
          <w:sz w:val="19"/>
          <w:szCs w:val="19"/>
        </w:rPr>
        <w:t xml:space="preserve">2  ·  REFERRED LOCATION(S)</w:t>
      </w:r>
    </w:p>
    <w:p>
      <w:pPr>
        <w:spacing w:after="100"/>
      </w:pPr>
      <w:r>
        <w:rPr>
          <w:color w:val="2f3a33"/>
          <w:sz w:val="19"/>
          <w:szCs w:val="19"/>
        </w:rPr>
        <w:t xml:space="preserve">List each location the Broker is registering. Whoever registers a specific location first, in writing, is the one credited for it. Attach a list if there are more than three.</w:t>
      </w:r>
    </w:p>
    <w:tbl>
      <w:tblPr>
        <w:tblW w:type="dxa" w:w="9360"/>
        <w:tblBorders>
          <w:top w:val="single" w:color="1a5c38" w:sz="10"/>
          <w:left w:val="single" w:color="1a5c38" w:sz="10"/>
          <w:bottom w:val="single" w:color="1a5c38" w:sz="10"/>
          <w:right w:val="single" w:color="1a5c38" w:sz="10"/>
          <w:insideH w:val="none"/>
          <w:insideV w:val="none"/>
        </w:tblBorders>
      </w:tblPr>
      <w:tblGrid>
        <w:gridCol w:w="1500"/>
        <w:gridCol w:w="7860"/>
      </w:tblGrid>
      <w:tr>
        <w:trPr>
          <w:trHeight w:val="520" w:hRule="atLeast"/>
        </w:trPr>
        <w:tc>
          <w:tcPr>
            <w:tcW w:type="dxa" w:w="1500"/>
            <w:tcBorders>
              <w:top w:val="none"/>
              <w:left w:val="none"/>
              <w:bottom w:val="none"/>
              <w:right w:val="none"/>
            </w:tcBorders>
            <w:shd w:fill="f4f8f5" w:val="clear"/>
            <w:tcMar>
              <w:top w:type="dxa" w:w="80"/>
              <w:left w:type="dxa" w:w="150"/>
              <w:bottom w:type="dxa" w:w="80"/>
              <w:right w:type="dxa" w:w="100"/>
            </w:tcMar>
          </w:tcPr>
          <w:p>
            <w:r>
              <w:rPr>
                <w:b/>
                <w:bCs/>
                <w:color w:val="111a14"/>
                <w:sz w:val="19"/>
                <w:szCs w:val="19"/>
              </w:rPr>
              <w:t xml:space="preserve">Location 1</w:t>
            </w:r>
          </w:p>
        </w:tc>
        <w:tc>
          <w:tcPr>
            <w:tcW w:type="dxa" w:w="7860"/>
            <w:tcBorders>
              <w:top w:val="none"/>
              <w:left w:val="none"/>
              <w:bottom w:val="single" w:color="9aa39d" w:sz="6" w:space="2"/>
              <w:right w:val="none"/>
            </w:tcBorders>
            <w:tcMar>
              <w:top w:type="dxa" w:w="80"/>
              <w:left w:type="dxa" w:w="150"/>
              <w:bottom w:type="dxa" w:w="80"/>
              <w:right w:type="dxa" w:w="120"/>
            </w:tcMar>
          </w:tcPr>
          <w:p>
            <w:r>
              <w:rPr>
                <w:i/>
                <w:iCs/>
                <w:color w:val="9aa39d"/>
                <w:sz w:val="17"/>
                <w:szCs w:val="17"/>
              </w:rPr>
              <w:t xml:space="preserve">     business name, address, and date introduced</w:t>
            </w:r>
          </w:p>
        </w:tc>
      </w:tr>
      <w:tr>
        <w:trPr>
          <w:trHeight w:val="520" w:hRule="atLeast"/>
        </w:trPr>
        <w:tc>
          <w:tcPr>
            <w:tcW w:type="dxa" w:w="1500"/>
            <w:tcBorders>
              <w:top w:val="none"/>
              <w:left w:val="none"/>
              <w:bottom w:val="none"/>
              <w:right w:val="none"/>
            </w:tcBorders>
            <w:shd w:fill="f4f8f5" w:val="clear"/>
            <w:tcMar>
              <w:top w:type="dxa" w:w="80"/>
              <w:left w:type="dxa" w:w="150"/>
              <w:bottom w:type="dxa" w:w="80"/>
              <w:right w:type="dxa" w:w="100"/>
            </w:tcMar>
          </w:tcPr>
          <w:p>
            <w:r>
              <w:rPr>
                <w:b/>
                <w:bCs/>
                <w:color w:val="111a14"/>
                <w:sz w:val="19"/>
                <w:szCs w:val="19"/>
              </w:rPr>
              <w:t xml:space="preserve">Location 2</w:t>
            </w:r>
          </w:p>
        </w:tc>
        <w:tc>
          <w:tcPr>
            <w:tcW w:type="dxa" w:w="7860"/>
            <w:tcBorders>
              <w:top w:val="none"/>
              <w:left w:val="none"/>
              <w:bottom w:val="single" w:color="9aa39d" w:sz="6" w:space="2"/>
              <w:right w:val="none"/>
            </w:tcBorders>
            <w:tcMar>
              <w:top w:type="dxa" w:w="80"/>
              <w:left w:type="dxa" w:w="150"/>
              <w:bottom w:type="dxa" w:w="80"/>
              <w:right w:type="dxa" w:w="120"/>
            </w:tcMar>
          </w:tcPr>
          <w:p>
            <w:r>
              <w:rPr>
                <w:i/>
                <w:iCs/>
                <w:color w:val="9aa39d"/>
                <w:sz w:val="17"/>
                <w:szCs w:val="17"/>
              </w:rPr>
              <w:t xml:space="preserve">     business name, address, and date introduced</w:t>
            </w:r>
          </w:p>
        </w:tc>
      </w:tr>
      <w:tr>
        <w:trPr>
          <w:trHeight w:val="520" w:hRule="atLeast"/>
        </w:trPr>
        <w:tc>
          <w:tcPr>
            <w:tcW w:type="dxa" w:w="1500"/>
            <w:tcBorders>
              <w:top w:val="none"/>
              <w:left w:val="none"/>
              <w:bottom w:val="none"/>
              <w:right w:val="none"/>
            </w:tcBorders>
            <w:shd w:fill="f4f8f5" w:val="clear"/>
            <w:tcMar>
              <w:top w:type="dxa" w:w="80"/>
              <w:left w:type="dxa" w:w="150"/>
              <w:bottom w:type="dxa" w:w="80"/>
              <w:right w:type="dxa" w:w="100"/>
            </w:tcMar>
          </w:tcPr>
          <w:p>
            <w:r>
              <w:rPr>
                <w:b/>
                <w:bCs/>
                <w:color w:val="111a14"/>
                <w:sz w:val="19"/>
                <w:szCs w:val="19"/>
              </w:rPr>
              <w:t xml:space="preserve">Location 3</w:t>
            </w:r>
          </w:p>
        </w:tc>
        <w:tc>
          <w:tcPr>
            <w:tcW w:type="dxa" w:w="7860"/>
            <w:tcBorders>
              <w:top w:val="none"/>
              <w:left w:val="none"/>
              <w:bottom w:val="single" w:color="9aa39d" w:sz="6" w:space="2"/>
              <w:right w:val="none"/>
            </w:tcBorders>
            <w:tcMar>
              <w:top w:type="dxa" w:w="80"/>
              <w:left w:type="dxa" w:w="150"/>
              <w:bottom w:type="dxa" w:w="80"/>
              <w:right w:type="dxa" w:w="120"/>
            </w:tcMar>
          </w:tcPr>
          <w:p>
            <w:r>
              <w:rPr>
                <w:i/>
                <w:iCs/>
                <w:color w:val="9aa39d"/>
                <w:sz w:val="17"/>
                <w:szCs w:val="17"/>
              </w:rPr>
              <w:t xml:space="preserve">     business name, address, and date introduced</w:t>
            </w:r>
          </w:p>
        </w:tc>
      </w:tr>
    </w:tbl>
    <w:p>
      <w:pPr>
        <w:keepNext/>
        <w:pBdr>
          <w:bottom w:val="single" w:color="1a5c38" w:sz="8" w:space="3"/>
        </w:pBdr>
        <w:spacing w:after="90" w:before="230"/>
      </w:pPr>
      <w:r>
        <w:rPr>
          <w:b/>
          <w:bCs/>
          <w:color w:val="1a5c38"/>
          <w:spacing w:val="14"/>
          <w:sz w:val="19"/>
          <w:szCs w:val="19"/>
        </w:rPr>
        <w:t xml:space="preserve">3  ·  RECITALS</w:t>
      </w:r>
    </w:p>
    <w:p>
      <w:pPr>
        <w:spacing w:after="100" w:line="270"/>
        <w:jc w:val="both"/>
      </w:pPr>
      <w:r>
        <w:rPr>
          <w:b/>
          <w:bCs/>
          <w:color w:val="1a5c38"/>
          <w:sz w:val="19"/>
          <w:szCs w:val="19"/>
        </w:rPr>
        <w:t xml:space="preserve">WHEREAS  </w:t>
      </w:r>
      <w:r>
        <w:rPr>
          <w:i/>
          <w:iCs/>
          <w:color w:val="333c36"/>
          <w:sz w:val="19"/>
          <w:szCs w:val="19"/>
        </w:rPr>
        <w:t xml:space="preserve">the Operator places and operates automated teller machines and wishes to obtain new host locations; and</w:t>
      </w:r>
    </w:p>
    <w:p>
      <w:pPr>
        <w:spacing w:after="100" w:line="270"/>
        <w:jc w:val="both"/>
      </w:pPr>
      <w:r>
        <w:rPr>
          <w:b/>
          <w:bCs/>
          <w:color w:val="1a5c38"/>
          <w:sz w:val="19"/>
          <w:szCs w:val="19"/>
        </w:rPr>
        <w:t xml:space="preserve">WHEREAS  </w:t>
      </w:r>
      <w:r>
        <w:rPr>
          <w:i/>
          <w:iCs/>
          <w:color w:val="333c36"/>
          <w:sz w:val="19"/>
          <w:szCs w:val="19"/>
        </w:rPr>
        <w:t xml:space="preserve">the Broker has relationships or leads and agrees to introduce prospective host locations to the Operator for the fee set out below;</w:t>
      </w:r>
    </w:p>
    <w:p>
      <w:pPr>
        <w:spacing w:after="100" w:line="270"/>
        <w:jc w:val="both"/>
      </w:pPr>
      <w:r>
        <w:rPr>
          <w:b/>
          <w:bCs/>
          <w:color w:val="1a5c38"/>
          <w:sz w:val="19"/>
          <w:szCs w:val="19"/>
        </w:rPr>
        <w:t xml:space="preserve">NOW, THEREFORE,  </w:t>
      </w:r>
      <w:r>
        <w:rPr>
          <w:i/>
          <w:iCs/>
          <w:color w:val="333c36"/>
          <w:sz w:val="19"/>
          <w:szCs w:val="19"/>
        </w:rPr>
        <w:t xml:space="preserve">in exchange for the mutual promises below and other good and valuable consideration, the receipt of which each party acknowledges, the Operator and the Broker agree as follows.</w:t>
      </w:r>
    </w:p>
    <w:p>
      <w:pPr>
        <w:keepNext/>
        <w:pBdr>
          <w:bottom w:val="single" w:color="1a5c38" w:sz="8" w:space="3"/>
        </w:pBdr>
        <w:spacing w:after="90" w:before="230"/>
      </w:pPr>
      <w:r>
        <w:rPr>
          <w:b/>
          <w:bCs/>
          <w:color w:val="1a5c38"/>
          <w:spacing w:val="14"/>
          <w:sz w:val="19"/>
          <w:szCs w:val="19"/>
        </w:rPr>
        <w:t xml:space="preserve">4  ·  DEAL TERMS</w:t>
      </w:r>
    </w:p>
    <w:p>
      <w:pPr>
        <w:spacing w:after="100"/>
      </w:pPr>
      <w:r>
        <w:rPr>
          <w:color w:val="2f3a33"/>
          <w:sz w:val="19"/>
          <w:szCs w:val="19"/>
        </w:rPr>
        <w:t xml:space="preserve">Write your details on the lines below. The Terms point back to these figures, so you fill each one in only once.</w:t>
      </w:r>
    </w:p>
    <w:tbl>
      <w:tblPr>
        <w:tblW w:type="dxa" w:w="9360"/>
        <w:tblBorders>
          <w:top w:val="single" w:color="1a5c38" w:sz="10"/>
          <w:left w:val="single" w:color="1a5c38" w:sz="10"/>
          <w:bottom w:val="single" w:color="1a5c38" w:sz="10"/>
          <w:right w:val="single" w:color="1a5c38" w:sz="10"/>
          <w:insideH w:val="none"/>
          <w:insideV w:val="none"/>
        </w:tblBorders>
      </w:tblPr>
      <w:tblGrid>
        <w:gridCol w:w="3300"/>
        <w:gridCol w:w="6060"/>
      </w:tblGrid>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Effective date</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month / day / year</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Commission trigger</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paid only once the site signs a placement agreement AND a machine is installed and processing</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Residual duration</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if paid per transaction, it runs for</w:t>
            </w:r>
            <w:r>
              <w:rPr>
                <w:color w:val="111a14"/>
                <w:sz w:val="21"/>
                <w:szCs w:val="21"/>
              </w:rPr>
              <w:t xml:space="preserve">  years (or the life of the placement)</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Early-closure window</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if a site closes within</w:t>
            </w:r>
            <w:r>
              <w:rPr>
                <w:color w:val="111a14"/>
                <w:sz w:val="21"/>
                <w:szCs w:val="21"/>
              </w:rPr>
              <w:t xml:space="preserve">  months, see Term 6</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Non-circumvention</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no direct dealing for</w:t>
            </w:r>
            <w:r>
              <w:rPr>
                <w:color w:val="111a14"/>
                <w:sz w:val="21"/>
                <w:szCs w:val="21"/>
              </w:rPr>
              <w:t xml:space="preserve">  months after this ends</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Operator pays broker</w:t>
            </w:r>
          </w:p>
        </w:tc>
        <w:tc>
          <w:tcPr>
            <w:tcW w:type="dxa" w:w="6060"/>
            <w:tcBorders>
              <w:top w:val="none"/>
              <w:left w:val="none"/>
              <w:bottom w:val="single" w:color="9aa39d" w:sz="6" w:space="2"/>
              <w:right w:val="none"/>
            </w:tcBorders>
            <w:tcMar>
              <w:top w:type="dxa" w:w="60"/>
              <w:left w:type="dxa" w:w="120"/>
              <w:bottom w:type="dxa" w:w="60"/>
              <w:right w:type="dxa" w:w="120"/>
            </w:tcMar>
          </w:tcPr>
          <w:p>
            <w:r>
              <w:rPr>
                <w:color w:val="111a14"/>
                <w:sz w:val="21"/>
                <w:szCs w:val="21"/>
              </w:rPr>
              <w:t xml:space="preserve">by the  </w:t>
            </w:r>
            <w:r>
              <w:rPr>
                <w:i/>
                <w:iCs/>
                <w:color w:val="9aa39d"/>
                <w:sz w:val="18"/>
                <w:szCs w:val="18"/>
              </w:rPr>
              <w:t xml:space="preserve">    pick a day</w:t>
            </w:r>
            <w:r>
              <w:rPr>
                <w:color w:val="111a14"/>
                <w:sz w:val="21"/>
                <w:szCs w:val="21"/>
              </w:rPr>
              <w:t xml:space="preserve">  of each month</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Term &amp; notice</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either party may end on</w:t>
            </w:r>
            <w:r>
              <w:rPr>
                <w:color w:val="111a14"/>
                <w:sz w:val="21"/>
                <w:szCs w:val="21"/>
              </w:rPr>
              <w:t xml:space="preserve">  days written notice</w:t>
            </w:r>
          </w:p>
        </w:tc>
      </w:tr>
      <w:tr>
        <w:trPr>
          <w:trHeight w:val="400" w:hRule="atLeast"/>
        </w:trPr>
        <w:tc>
          <w:tcPr>
            <w:tcW w:type="dxa" w:w="3300"/>
            <w:tcBorders>
              <w:top w:val="none"/>
              <w:left w:val="none"/>
              <w:bottom w:val="none"/>
              <w:right w:val="none"/>
            </w:tcBorders>
            <w:shd w:fill="f4f8f5" w:val="clear"/>
            <w:tcMar>
              <w:top w:type="dxa" w:w="60"/>
              <w:left w:type="dxa" w:w="120"/>
              <w:bottom w:type="dxa" w:w="60"/>
              <w:right w:type="dxa" w:w="100"/>
            </w:tcMar>
          </w:tcPr>
          <w:p>
            <w:r>
              <w:rPr>
                <w:b/>
                <w:bCs/>
                <w:color w:val="111a14"/>
                <w:sz w:val="19"/>
                <w:szCs w:val="19"/>
              </w:rPr>
              <w:t xml:space="preserve">Governing law</w:t>
            </w:r>
          </w:p>
        </w:tc>
        <w:tc>
          <w:tcPr>
            <w:tcW w:type="dxa" w:w="6060"/>
            <w:tcBorders>
              <w:top w:val="none"/>
              <w:left w:val="none"/>
              <w:bottom w:val="single" w:color="9aa39d" w:sz="6" w:space="2"/>
              <w:right w:val="none"/>
            </w:tcBorders>
            <w:tcMar>
              <w:top w:type="dxa" w:w="60"/>
              <w:left w:type="dxa" w:w="120"/>
              <w:bottom w:type="dxa" w:w="60"/>
              <w:right w:type="dxa" w:w="120"/>
            </w:tcMar>
          </w:tcPr>
          <w:p>
            <w:r>
              <w:rPr>
                <w:i/>
                <w:iCs/>
                <w:color w:val="9aa39d"/>
                <w:sz w:val="18"/>
                <w:szCs w:val="18"/>
              </w:rPr>
              <w:t xml:space="preserve">    state / county</w:t>
            </w:r>
          </w:p>
        </w:tc>
      </w:tr>
    </w:tbl>
    <w:p>
      <w:pPr>
        <w:keepNext/>
        <w:pBdr>
          <w:bottom w:val="single" w:color="1a5c38" w:sz="8" w:space="3"/>
        </w:pBdr>
        <w:spacing w:after="90" w:before="230"/>
      </w:pPr>
      <w:r>
        <w:rPr>
          <w:b/>
          <w:bCs/>
          <w:color w:val="1a5c38"/>
          <w:spacing w:val="14"/>
          <w:sz w:val="19"/>
          <w:szCs w:val="19"/>
        </w:rPr>
        <w:t xml:space="preserve">5  ·  PAY SCHEDULE</w:t>
      </w:r>
    </w:p>
    <w:p>
      <w:pPr>
        <w:spacing w:after="100"/>
      </w:pPr>
      <w:r>
        <w:rPr>
          <w:color w:val="2f3a33"/>
          <w:sz w:val="19"/>
          <w:szCs w:val="19"/>
        </w:rPr>
        <w:t xml:space="preserve">How the Broker is paid per installed location. Pick one basis, then set the number.</w:t>
      </w:r>
    </w:p>
    <w:tbl>
      <w:tblPr>
        <w:tblW w:type="dxa" w:w="9360"/>
        <w:tblBorders>
          <w:top w:val="single" w:color="1a5c38" w:sz="10"/>
          <w:left w:val="single" w:color="1a5c38" w:sz="10"/>
          <w:bottom w:val="single" w:color="1a5c38" w:sz="10"/>
          <w:right w:val="single" w:color="1a5c38" w:sz="10"/>
          <w:insideH w:val="none"/>
          <w:insideV w:val="none"/>
        </w:tblBorders>
      </w:tblPr>
      <w:tblGrid>
        <w:gridCol w:w="9360"/>
      </w:tblGrid>
      <w:tr>
        <w:tc>
          <w:tcPr>
            <w:tcW w:type="dxa" w:w="9360"/>
            <w:tcBorders>
              <w:top w:val="none"/>
              <w:left w:val="none"/>
              <w:bottom w:val="single" w:color="cfe4d6" w:sz="4" w:space="3"/>
              <w:right w:val="none"/>
            </w:tcBorders>
            <w:shd w:fill="f4f8f5" w:val="clear"/>
            <w:tcMar>
              <w:top w:type="dxa" w:w="70"/>
              <w:left w:type="dxa" w:w="150"/>
              <w:bottom w:type="dxa" w:w="70"/>
              <w:right w:type="dxa" w:w="120"/>
            </w:tcMar>
          </w:tcPr>
          <w:p>
            <w:r>
              <w:rPr>
                <w:b/>
                <w:bCs/>
                <w:color w:val="1a5c38"/>
                <w:sz w:val="20"/>
                <w:szCs w:val="20"/>
              </w:rPr>
              <w:t xml:space="preserve">BROKER PAY SCHEDULE</w:t>
            </w:r>
          </w:p>
        </w:tc>
      </w:tr>
      <w:tr>
        <w:tc>
          <w:tcPr>
            <w:tcW w:type="dxa" w:w="9360"/>
            <w:tcBorders>
              <w:top w:val="none"/>
              <w:left w:val="none"/>
              <w:bottom w:val="none"/>
              <w:right w:val="none"/>
            </w:tcBorders>
            <w:tcMar>
              <w:top w:type="dxa" w:w="80"/>
              <w:left w:type="dxa" w:w="150"/>
              <w:bottom w:type="dxa" w:w="80"/>
              <w:right w:type="dxa" w:w="120"/>
            </w:tcMar>
          </w:tcPr>
          <w:p>
            <w:pPr>
              <w:spacing w:after="40" w:line="264"/>
            </w:pPr>
            <w:r>
              <w:rPr>
                <w:b/>
                <w:bCs/>
                <w:color w:val="111a14"/>
                <w:sz w:val="19"/>
                <w:szCs w:val="19"/>
              </w:rPr>
              <w:t xml:space="preserve">Compensation basis:   </w:t>
            </w:r>
            <w:r>
              <w:rPr>
                <w:rFonts w:ascii="Segoe UI Symbol" w:cs="Segoe UI Symbol" w:eastAsia="Segoe UI Symbol" w:hAnsi="Segoe UI Symbol"/>
                <w:color w:val="111a14"/>
                <w:sz w:val="22"/>
                <w:szCs w:val="22"/>
              </w:rPr>
              <w:t xml:space="preserve">☐</w:t>
            </w:r>
            <w:r>
              <w:rPr>
                <w:color w:val="111a14"/>
                <w:sz w:val="19"/>
                <w:szCs w:val="19"/>
              </w:rPr>
              <w:t xml:space="preserve"> per-transaction residual    </w:t>
            </w:r>
            <w:r>
              <w:rPr>
                <w:rFonts w:ascii="Segoe UI Symbol" w:cs="Segoe UI Symbol" w:eastAsia="Segoe UI Symbol" w:hAnsi="Segoe UI Symbol"/>
                <w:color w:val="111a14"/>
                <w:sz w:val="22"/>
                <w:szCs w:val="22"/>
              </w:rPr>
              <w:t xml:space="preserve">☐</w:t>
            </w:r>
            <w:r>
              <w:rPr>
                <w:color w:val="111a14"/>
                <w:sz w:val="19"/>
                <w:szCs w:val="19"/>
              </w:rPr>
              <w:t xml:space="preserve"> one-time flat finder’s fee    </w:t>
            </w:r>
          </w:p>
        </w:tc>
      </w:tr>
      <w:tr>
        <w:tc>
          <w:tcPr>
            <w:tcW w:type="dxa" w:w="9360"/>
            <w:tcBorders>
              <w:top w:val="none"/>
              <w:left w:val="none"/>
              <w:bottom w:val="none"/>
              <w:right w:val="none"/>
            </w:tcBorders>
            <w:tcMar>
              <w:top w:type="dxa" w:w="80"/>
              <w:left w:type="dxa" w:w="150"/>
              <w:bottom w:type="dxa" w:w="80"/>
              <w:right w:type="dxa" w:w="120"/>
            </w:tcMar>
          </w:tcPr>
          <w:p>
            <w:pPr>
              <w:spacing w:after="40" w:line="264"/>
            </w:pPr>
            <w:r>
              <w:rPr>
                <w:b/>
                <w:bCs/>
                <w:color w:val="111a14"/>
                <w:sz w:val="19"/>
                <w:szCs w:val="19"/>
              </w:rPr>
              <w:t xml:space="preserve">Rate   </w:t>
            </w:r>
            <w:r>
              <w:rPr>
                <w:color w:val="111a14"/>
                <w:sz w:val="19"/>
                <w:szCs w:val="19"/>
              </w:rPr>
              <w:t xml:space="preserve">$ </w:t>
            </w:r>
            <w:r>
              <w:rPr>
                <w:color w:val="7a837c"/>
                <w:sz w:val="21"/>
                <w:szCs w:val="21"/>
              </w:rPr>
              <w:t xml:space="preserve">____</w:t>
            </w:r>
            <w:r>
              <w:rPr>
                <w:color w:val="111a14"/>
                <w:sz w:val="19"/>
                <w:szCs w:val="19"/>
              </w:rPr>
              <w:t xml:space="preserve"> per surcharged withdrawal      or      flat  $ </w:t>
            </w:r>
            <w:r>
              <w:rPr>
                <w:color w:val="7a837c"/>
                <w:sz w:val="21"/>
                <w:szCs w:val="21"/>
              </w:rPr>
              <w:t xml:space="preserve">______</w:t>
            </w:r>
            <w:r>
              <w:rPr>
                <w:color w:val="111a14"/>
                <w:sz w:val="19"/>
                <w:szCs w:val="19"/>
              </w:rPr>
              <w:t xml:space="preserve">  per installed location</w:t>
            </w:r>
          </w:p>
        </w:tc>
      </w:tr>
      <w:tr>
        <w:tc>
          <w:tcPr>
            <w:tcW w:type="dxa" w:w="9360"/>
            <w:tcBorders>
              <w:top w:val="none"/>
              <w:left w:val="none"/>
              <w:bottom w:val="none"/>
              <w:right w:val="none"/>
            </w:tcBorders>
            <w:tcMar>
              <w:top w:type="dxa" w:w="80"/>
              <w:left w:type="dxa" w:w="150"/>
              <w:bottom w:type="dxa" w:w="80"/>
              <w:right w:type="dxa" w:w="120"/>
            </w:tcMar>
          </w:tcPr>
          <w:p>
            <w:pPr>
              <w:spacing w:after="40" w:line="264"/>
            </w:pPr>
            <w:r>
              <w:rPr>
                <w:b/>
                <w:bCs/>
                <w:color w:val="111a14"/>
                <w:sz w:val="19"/>
                <w:szCs w:val="19"/>
              </w:rPr>
              <w:t xml:space="preserve">Residual runs:   </w:t>
            </w:r>
            <w:r>
              <w:rPr>
                <w:rFonts w:ascii="Segoe UI Symbol" w:cs="Segoe UI Symbol" w:eastAsia="Segoe UI Symbol" w:hAnsi="Segoe UI Symbol"/>
                <w:color w:val="111a14"/>
                <w:sz w:val="22"/>
                <w:szCs w:val="22"/>
              </w:rPr>
              <w:t xml:space="preserve">☐</w:t>
            </w:r>
            <w:r>
              <w:rPr>
                <w:color w:val="111a14"/>
                <w:sz w:val="19"/>
                <w:szCs w:val="19"/>
              </w:rPr>
              <w:t xml:space="preserve"> life of the placement    </w:t>
            </w:r>
            <w:r>
              <w:rPr>
                <w:rFonts w:ascii="Segoe UI Symbol" w:cs="Segoe UI Symbol" w:eastAsia="Segoe UI Symbol" w:hAnsi="Segoe UI Symbol"/>
                <w:color w:val="111a14"/>
                <w:sz w:val="22"/>
                <w:szCs w:val="22"/>
              </w:rPr>
              <w:t xml:space="preserve">☐</w:t>
            </w:r>
            <w:r>
              <w:rPr>
                <w:color w:val="111a14"/>
                <w:sz w:val="19"/>
                <w:szCs w:val="19"/>
              </w:rPr>
              <w:t xml:space="preserve"> ___ years    </w:t>
            </w:r>
            <w:r>
              <w:rPr>
                <w:color w:val="111a14"/>
                <w:sz w:val="19"/>
                <w:szCs w:val="19"/>
              </w:rPr>
              <w:t xml:space="preserve">     (if per-transaction)</w:t>
            </w:r>
          </w:p>
        </w:tc>
      </w:tr>
      <w:tr>
        <w:tc>
          <w:tcPr>
            <w:tcW w:type="dxa" w:w="9360"/>
            <w:tcBorders>
              <w:top w:val="none"/>
              <w:left w:val="none"/>
              <w:bottom w:val="none"/>
              <w:right w:val="none"/>
            </w:tcBorders>
            <w:tcMar>
              <w:top w:type="dxa" w:w="80"/>
              <w:left w:type="dxa" w:w="150"/>
              <w:bottom w:type="dxa" w:w="80"/>
              <w:right w:type="dxa" w:w="120"/>
            </w:tcMar>
          </w:tcPr>
          <w:p>
            <w:pPr>
              <w:spacing w:after="40" w:line="264"/>
            </w:pPr>
            <w:r>
              <w:rPr>
                <w:b/>
                <w:bCs/>
                <w:color w:val="111a14"/>
                <w:sz w:val="19"/>
                <w:szCs w:val="19"/>
              </w:rPr>
              <w:t xml:space="preserve">Paid by:   </w:t>
            </w:r>
            <w:r>
              <w:rPr>
                <w:rFonts w:ascii="Segoe UI Symbol" w:cs="Segoe UI Symbol" w:eastAsia="Segoe UI Symbol" w:hAnsi="Segoe UI Symbol"/>
                <w:color w:val="1a5c38"/>
                <w:sz w:val="22"/>
                <w:szCs w:val="22"/>
              </w:rPr>
              <w:t xml:space="preserve">☒</w:t>
            </w:r>
            <w:r>
              <w:rPr>
                <w:color w:val="111a14"/>
                <w:sz w:val="19"/>
                <w:szCs w:val="19"/>
              </w:rPr>
              <w:t xml:space="preserve"> ACH    </w:t>
            </w:r>
            <w:r>
              <w:rPr>
                <w:rFonts w:ascii="Segoe UI Symbol" w:cs="Segoe UI Symbol" w:eastAsia="Segoe UI Symbol" w:hAnsi="Segoe UI Symbol"/>
                <w:color w:val="111a14"/>
                <w:sz w:val="22"/>
                <w:szCs w:val="22"/>
              </w:rPr>
              <w:t xml:space="preserve">☐</w:t>
            </w:r>
            <w:r>
              <w:rPr>
                <w:color w:val="111a14"/>
                <w:sz w:val="19"/>
                <w:szCs w:val="19"/>
              </w:rPr>
              <w:t xml:space="preserve"> Check    </w:t>
            </w:r>
            <w:r>
              <w:rPr>
                <w:color w:val="111a14"/>
                <w:sz w:val="19"/>
                <w:szCs w:val="19"/>
              </w:rPr>
              <w:t xml:space="preserve">     on the day set in the Deal Terms</w:t>
            </w:r>
          </w:p>
        </w:tc>
      </w:tr>
    </w:tbl>
    <w:p>
      <w:pPr>
        <w:pBdr>
          <w:top w:val="single" w:color="cfe4d6" w:sz="4" w:space="6"/>
          <w:bottom w:val="single" w:color="cfe4d6" w:sz="4" w:space="6"/>
          <w:left w:val="single" w:color="1a5c38" w:sz="22" w:space="8"/>
          <w:right w:val="single" w:color="cfe4d6" w:sz="4" w:space="6"/>
        </w:pBdr>
        <w:shd w:fill="eef5f0" w:val="clear"/>
        <w:spacing w:after="150" w:before="80"/>
      </w:pPr>
      <w:r>
        <w:rPr>
          <w:b/>
          <w:bCs/>
          <w:color w:val="1a5c38"/>
          <w:sz w:val="16"/>
          <w:szCs w:val="16"/>
        </w:rPr>
        <w:t xml:space="preserve">OPERATOR TIP   </w:t>
      </w:r>
      <w:r>
        <w:rPr>
          <w:color w:val="2f3a33"/>
          <w:sz w:val="19"/>
          <w:szCs w:val="19"/>
        </w:rPr>
        <w:t xml:space="preserve">A per-transaction residual keeps a good broker motivated to keep sending you live sites; a flat finder’s fee lets you settle once and own the tail. Real residuals to a broker run about 5 to 7 cents per surcharged withdrawal. Pick per location depending on how badly you want it.</w:t>
      </w:r>
    </w:p>
    <w:p>
      <w:pPr>
        <w:keepNext/>
        <w:pBdr>
          <w:bottom w:val="single" w:color="1a5c38" w:sz="8" w:space="3"/>
        </w:pBdr>
        <w:spacing w:after="90" w:before="230"/>
      </w:pPr>
      <w:r>
        <w:rPr>
          <w:b/>
          <w:bCs/>
          <w:color w:val="1a5c38"/>
          <w:spacing w:val="14"/>
          <w:sz w:val="19"/>
          <w:szCs w:val="19"/>
        </w:rPr>
        <w:t xml:space="preserve">6  ·  WHAT EACH PARTY PROVIDES</w:t>
      </w:r>
    </w:p>
    <w:tbl>
      <w:tblPr>
        <w:tblW w:type="dxa" w:w="9360"/>
        <w:tblBorders>
          <w:top w:val="single" w:color="1a5c38" w:sz="10"/>
          <w:left w:val="single" w:color="1a5c38" w:sz="10"/>
          <w:bottom w:val="single" w:color="1a5c38" w:sz="10"/>
          <w:right w:val="single" w:color="1a5c38" w:sz="10"/>
          <w:insideH w:val="none"/>
          <w:insideV w:val="single" w:color="1a5c38" w:sz="8"/>
        </w:tblBorders>
      </w:tblPr>
      <w:tblGrid>
        <w:gridCol w:w="4680"/>
        <w:gridCol w:w="4680"/>
      </w:tblGrid>
      <w:tr>
        <w:trPr>
          <w:tblHeader/>
        </w:trPr>
        <w:tc>
          <w:tcPr>
            <w:tcW w:type="dxa" w:w="4680"/>
            <w:tcBorders>
              <w:top w:val="none"/>
              <w:left w:val="none"/>
              <w:bottom w:val="none"/>
              <w:right w:val="none"/>
            </w:tcBorders>
            <w:shd w:fill="1a5c38" w:val="clear"/>
            <w:tcMar>
              <w:top w:type="dxa" w:w="80"/>
              <w:left w:type="dxa" w:w="160"/>
              <w:bottom w:type="dxa" w:w="80"/>
              <w:right w:type="dxa" w:w="140"/>
            </w:tcMar>
          </w:tcPr>
          <w:p>
            <w:r>
              <w:rPr>
                <w:b/>
                <w:bCs/>
                <w:color w:val="FFFFFF"/>
                <w:sz w:val="19"/>
                <w:szCs w:val="19"/>
              </w:rPr>
              <w:t xml:space="preserve">OPERATOR PROVIDES</w:t>
            </w:r>
          </w:p>
        </w:tc>
        <w:tc>
          <w:tcPr>
            <w:tcW w:type="dxa" w:w="4680"/>
            <w:tcBorders>
              <w:top w:val="none"/>
              <w:left w:val="none"/>
              <w:bottom w:val="none"/>
              <w:right w:val="none"/>
            </w:tcBorders>
            <w:shd w:fill="1a5c38" w:val="clear"/>
            <w:tcMar>
              <w:top w:type="dxa" w:w="80"/>
              <w:left w:type="dxa" w:w="160"/>
              <w:bottom w:type="dxa" w:w="80"/>
              <w:right w:type="dxa" w:w="140"/>
            </w:tcMar>
          </w:tcPr>
          <w:p>
            <w:r>
              <w:rPr>
                <w:b/>
                <w:bCs/>
                <w:color w:val="FFFFFF"/>
                <w:sz w:val="19"/>
                <w:szCs w:val="19"/>
              </w:rPr>
              <w:t xml:space="preserve">BROKER PROVIDES</w:t>
            </w:r>
          </w:p>
        </w:tc>
      </w:tr>
      <w:tr>
        <w:tc>
          <w:tcPr>
            <w:tcW w:type="dxa" w:w="4680"/>
            <w:tcBorders>
              <w:top w:val="none"/>
              <w:left w:val="none"/>
              <w:bottom w:val="none"/>
              <w:right w:val="none"/>
            </w:tcBorders>
            <w:tcMar>
              <w:top w:type="dxa" w:w="120"/>
              <w:left w:type="dxa" w:w="160"/>
              <w:bottom w:type="dxa" w:w="120"/>
              <w:right w:type="dxa" w:w="150"/>
            </w:tcMar>
          </w:tcPr>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The machine, cash, install, processing, and service</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The decision on whether to place at a site</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The agreed commission, on time</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A monthly statement of broker-sourced volume</w:t>
            </w:r>
          </w:p>
        </w:tc>
        <w:tc>
          <w:tcPr>
            <w:tcW w:type="dxa" w:w="4680"/>
            <w:tcBorders>
              <w:top w:val="none"/>
              <w:left w:val="none"/>
              <w:bottom w:val="none"/>
              <w:right w:val="none"/>
            </w:tcBorders>
            <w:tcMar>
              <w:top w:type="dxa" w:w="120"/>
              <w:left w:type="dxa" w:w="160"/>
              <w:bottom w:type="dxa" w:w="120"/>
              <w:right w:type="dxa" w:w="150"/>
            </w:tcMar>
          </w:tcPr>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Qualified location introductions</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Accurate site and contact information</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A written registration for each location</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No authority to sign, price, or bind the Operator</w:t>
            </w:r>
          </w:p>
          <w:p>
            <w:pPr>
              <w:spacing w:after="66"/>
              <w:ind w:left="60"/>
            </w:pPr>
            <w:r>
              <w:rPr>
                <w:rFonts w:ascii="Segoe UI Symbol" w:cs="Segoe UI Symbol" w:eastAsia="Segoe UI Symbol" w:hAnsi="Segoe UI Symbol"/>
                <w:b/>
                <w:bCs/>
                <w:color w:val="1a5c38"/>
                <w:sz w:val="19"/>
                <w:szCs w:val="19"/>
              </w:rPr>
              <w:t xml:space="preserve">✓  </w:t>
            </w:r>
            <w:r>
              <w:rPr>
                <w:color w:val="111a14"/>
                <w:sz w:val="18"/>
                <w:szCs w:val="18"/>
              </w:rPr>
              <w:t xml:space="preserve">No promises to a location on the Operator’s behalf</w:t>
            </w:r>
          </w:p>
        </w:tc>
      </w:tr>
    </w:tbl>
    <w:p>
      <w:pPr>
        <w:keepNext/>
        <w:pBdr>
          <w:bottom w:val="single" w:color="1a5c38" w:sz="8" w:space="3"/>
        </w:pBdr>
        <w:spacing w:after="90" w:before="230"/>
      </w:pPr>
      <w:r>
        <w:rPr>
          <w:b/>
          <w:bCs/>
          <w:color w:val="1a5c38"/>
          <w:spacing w:val="14"/>
          <w:sz w:val="19"/>
          <w:szCs w:val="19"/>
        </w:rPr>
        <w:t xml:space="preserve">7  ·  THE TERMS</w:t>
      </w:r>
    </w:p>
    <w:p>
      <w:pPr>
        <w:keepNext/>
        <w:spacing w:after="64" w:before="190"/>
      </w:pPr>
      <w:r>
        <w:rPr>
          <w:b/>
          <w:bCs/>
          <w:color w:val="1a5c38"/>
          <w:sz w:val="22"/>
          <w:szCs w:val="22"/>
        </w:rPr>
        <w:t xml:space="preserve">1.  </w:t>
      </w:r>
      <w:r>
        <w:rPr>
          <w:b/>
          <w:bCs/>
          <w:color w:val="111a14"/>
          <w:sz w:val="22"/>
          <w:szCs w:val="22"/>
        </w:rPr>
        <w:t xml:space="preserve">Scope and Role</w:t>
      </w:r>
    </w:p>
    <w:p>
      <w:pPr>
        <w:spacing w:after="120" w:line="276"/>
        <w:jc w:val="both"/>
      </w:pPr>
      <w:r>
        <w:rPr>
          <w:sz w:val="21"/>
          <w:szCs w:val="21"/>
        </w:rPr>
        <w:t xml:space="preserve">Broker introduces prospective host locations to Operator. Broker has no authority to sign, negotiate final terms, set the surcharge or split, or otherwise bind Operator, and shall make no representation to any location on Operator’s behalf. Operator alone decides whether to place a machine.</w:t>
      </w:r>
    </w:p>
    <w:p>
      <w:pPr>
        <w:keepNext/>
        <w:spacing w:after="64" w:before="190"/>
      </w:pPr>
      <w:r>
        <w:rPr>
          <w:b/>
          <w:bCs/>
          <w:color w:val="1a5c38"/>
          <w:sz w:val="22"/>
          <w:szCs w:val="22"/>
        </w:rPr>
        <w:t xml:space="preserve">2.  </w:t>
      </w:r>
      <w:r>
        <w:rPr>
          <w:b/>
          <w:bCs/>
          <w:color w:val="111a14"/>
          <w:sz w:val="22"/>
          <w:szCs w:val="22"/>
        </w:rPr>
        <w:t xml:space="preserve">When Broker Gets Paid</w:t>
      </w:r>
    </w:p>
    <w:p>
      <w:pPr>
        <w:spacing w:after="120" w:line="276"/>
        <w:jc w:val="both"/>
      </w:pPr>
      <w:r>
        <w:rPr>
          <w:sz w:val="21"/>
          <w:szCs w:val="21"/>
        </w:rPr>
        <w:t xml:space="preserve">Broker earns a commission on a location only when that location (a) signs Operator’s placement agreement and (b) has a machine installed and processing live transactions. No install and live processing, no commission. A signed lead that never goes live earns nothing.</w:t>
      </w:r>
    </w:p>
    <w:p>
      <w:pPr>
        <w:keepNext/>
        <w:spacing w:after="64" w:before="190"/>
      </w:pPr>
      <w:r>
        <w:rPr>
          <w:b/>
          <w:bCs/>
          <w:color w:val="1a5c38"/>
          <w:sz w:val="22"/>
          <w:szCs w:val="22"/>
        </w:rPr>
        <w:t xml:space="preserve">3.  </w:t>
      </w:r>
      <w:r>
        <w:rPr>
          <w:b/>
          <w:bCs/>
          <w:color w:val="111a14"/>
          <w:sz w:val="22"/>
          <w:szCs w:val="22"/>
        </w:rPr>
        <w:t xml:space="preserve">Registering a Location</w:t>
      </w:r>
    </w:p>
    <w:p>
      <w:pPr>
        <w:spacing w:after="120" w:line="276"/>
        <w:jc w:val="both"/>
      </w:pPr>
      <w:r>
        <w:rPr>
          <w:sz w:val="21"/>
          <w:szCs w:val="21"/>
        </w:rPr>
        <w:t xml:space="preserve">Broker registers a prospective location by giving Operator the business name, address, and contact in writing at or before the introduction. The first party to register a specific location in writing is the one credited for it; conflicts are resolved by the written record. Registration does not obligate Operator to place a machine.</w:t>
      </w:r>
    </w:p>
    <w:p>
      <w:pPr>
        <w:keepNext/>
        <w:spacing w:after="64" w:before="190"/>
      </w:pPr>
      <w:r>
        <w:rPr>
          <w:b/>
          <w:bCs/>
          <w:color w:val="1a5c38"/>
          <w:sz w:val="22"/>
          <w:szCs w:val="22"/>
        </w:rPr>
        <w:t xml:space="preserve">4.  </w:t>
      </w:r>
      <w:r>
        <w:rPr>
          <w:b/>
          <w:bCs/>
          <w:color w:val="111a14"/>
          <w:sz w:val="22"/>
          <w:szCs w:val="22"/>
        </w:rPr>
        <w:t xml:space="preserve">Compensation</w:t>
      </w:r>
    </w:p>
    <w:p>
      <w:pPr>
        <w:spacing w:after="120" w:line="276"/>
        <w:jc w:val="both"/>
      </w:pPr>
      <w:r>
        <w:rPr>
          <w:sz w:val="21"/>
          <w:szCs w:val="21"/>
        </w:rPr>
        <w:t xml:space="preserve">Operator shall pay Broker as set in the Pay Schedule, either a per-transaction residual or a one-time flat finder’s fee per installed location, by the day of the month stated in the Deal Terms. A residual is calculated on surcharged withdrawals actually processed at the Broker-sourced machine.</w:t>
      </w:r>
    </w:p>
    <w:p>
      <w:pPr>
        <w:keepNext/>
        <w:spacing w:after="64" w:before="190"/>
      </w:pPr>
      <w:r>
        <w:rPr>
          <w:b/>
          <w:bCs/>
          <w:color w:val="1a5c38"/>
          <w:sz w:val="22"/>
          <w:szCs w:val="22"/>
        </w:rPr>
        <w:t xml:space="preserve">5.  </w:t>
      </w:r>
      <w:r>
        <w:rPr>
          <w:b/>
          <w:bCs/>
          <w:color w:val="111a14"/>
          <w:sz w:val="22"/>
          <w:szCs w:val="22"/>
        </w:rPr>
        <w:t xml:space="preserve">Residual Duration</w:t>
      </w:r>
    </w:p>
    <w:p>
      <w:pPr>
        <w:spacing w:after="120" w:line="276"/>
        <w:jc w:val="both"/>
      </w:pPr>
      <w:r>
        <w:rPr>
          <w:sz w:val="21"/>
          <w:szCs w:val="21"/>
        </w:rPr>
        <w:t xml:space="preserve">If Broker is paid a residual, it continues for the life of the placement or the number of years stated in the Deal Terms, whichever the Pay Schedule specifies, and survives the end of this Agreement for machines already installed.</w:t>
      </w:r>
    </w:p>
    <w:p>
      <w:pPr>
        <w:keepNext/>
        <w:spacing w:after="64" w:before="190"/>
      </w:pPr>
      <w:r>
        <w:rPr>
          <w:b/>
          <w:bCs/>
          <w:color w:val="1a5c38"/>
          <w:sz w:val="22"/>
          <w:szCs w:val="22"/>
        </w:rPr>
        <w:t xml:space="preserve">6.  </w:t>
      </w:r>
      <w:r>
        <w:rPr>
          <w:b/>
          <w:bCs/>
          <w:color w:val="111a14"/>
          <w:sz w:val="22"/>
          <w:szCs w:val="22"/>
        </w:rPr>
        <w:t xml:space="preserve">Early Closure</w:t>
      </w:r>
    </w:p>
    <w:p>
      <w:pPr>
        <w:spacing w:after="120" w:line="276"/>
        <w:jc w:val="both"/>
      </w:pPr>
      <w:r>
        <w:rPr>
          <w:sz w:val="21"/>
          <w:szCs w:val="21"/>
        </w:rPr>
        <w:t xml:space="preserve">If a Broker-sourced location closes, is removed, or stops processing within the early-closure window stated in the Deal Terms, a per-transaction residual simply ends with the machine, and a flat finder’s fee is pro-rated or refunded to Operator on the same basis. Neither party owes the other for a site that never earned.</w:t>
      </w:r>
    </w:p>
    <w:p>
      <w:pPr>
        <w:keepNext/>
        <w:spacing w:after="64" w:before="190"/>
      </w:pPr>
      <w:r>
        <w:rPr>
          <w:b/>
          <w:bCs/>
          <w:color w:val="1a5c38"/>
          <w:sz w:val="22"/>
          <w:szCs w:val="22"/>
        </w:rPr>
        <w:t xml:space="preserve">7.  </w:t>
      </w:r>
      <w:r>
        <w:rPr>
          <w:b/>
          <w:bCs/>
          <w:color w:val="111a14"/>
          <w:sz w:val="22"/>
          <w:szCs w:val="22"/>
        </w:rPr>
        <w:t xml:space="preserve">Non-Circumvention</w:t>
      </w:r>
    </w:p>
    <w:p>
      <w:pPr>
        <w:spacing w:after="120" w:line="276"/>
        <w:jc w:val="both"/>
      </w:pPr>
      <w:r>
        <w:rPr>
          <w:sz w:val="21"/>
          <w:szCs w:val="21"/>
        </w:rPr>
        <w:t xml:space="preserve">During the Term and for the number of months stated in the Deal Terms afterward, Operator shall not bypass Broker to contract directly with a specific location that Broker first registered in writing. This protects the Broker’s introduction; it does not give Broker any claim to locations Broker did not source.</w:t>
      </w:r>
    </w:p>
    <w:p>
      <w:pPr>
        <w:keepNext/>
        <w:spacing w:after="64" w:before="190"/>
      </w:pPr>
      <w:r>
        <w:rPr>
          <w:b/>
          <w:bCs/>
          <w:color w:val="1a5c38"/>
          <w:sz w:val="22"/>
          <w:szCs w:val="22"/>
        </w:rPr>
        <w:t xml:space="preserve">8.  </w:t>
      </w:r>
      <w:r>
        <w:rPr>
          <w:b/>
          <w:bCs/>
          <w:color w:val="111a14"/>
          <w:sz w:val="22"/>
          <w:szCs w:val="22"/>
        </w:rPr>
        <w:t xml:space="preserve">Non-Solicitation</w:t>
      </w:r>
    </w:p>
    <w:p>
      <w:pPr>
        <w:spacing w:after="120" w:line="276"/>
        <w:jc w:val="both"/>
      </w:pPr>
      <w:r>
        <w:rPr>
          <w:sz w:val="21"/>
          <w:szCs w:val="21"/>
        </w:rPr>
        <w:t xml:space="preserve">Broker shall not solicit, move, or interfere with any location Operator has placed a machine at, shall not offer those locations to another operator, and shall not misrepresent Operator or this arrangement to anyone.</w:t>
      </w:r>
    </w:p>
    <w:p>
      <w:pPr>
        <w:keepNext/>
        <w:spacing w:after="64" w:before="190"/>
      </w:pPr>
      <w:r>
        <w:rPr>
          <w:b/>
          <w:bCs/>
          <w:color w:val="1a5c38"/>
          <w:sz w:val="22"/>
          <w:szCs w:val="22"/>
        </w:rPr>
        <w:t xml:space="preserve">9.  </w:t>
      </w:r>
      <w:r>
        <w:rPr>
          <w:b/>
          <w:bCs/>
          <w:color w:val="111a14"/>
          <w:sz w:val="22"/>
          <w:szCs w:val="22"/>
        </w:rPr>
        <w:t xml:space="preserve">Independent Contractor</w:t>
      </w:r>
    </w:p>
    <w:p>
      <w:pPr>
        <w:spacing w:after="120" w:line="276"/>
        <w:jc w:val="both"/>
      </w:pPr>
      <w:r>
        <w:rPr>
          <w:sz w:val="21"/>
          <w:szCs w:val="21"/>
        </w:rPr>
        <w:t xml:space="preserve">Broker is an independent contractor, not an employee or partner, is responsible for their own taxes and expenses, and has no authority to bind Operator. Nothing here creates a joint venture.</w:t>
      </w:r>
    </w:p>
    <w:p>
      <w:pPr>
        <w:keepNext/>
        <w:spacing w:after="64" w:before="190"/>
      </w:pPr>
      <w:r>
        <w:rPr>
          <w:b/>
          <w:bCs/>
          <w:color w:val="1a5c38"/>
          <w:sz w:val="22"/>
          <w:szCs w:val="22"/>
        </w:rPr>
        <w:t xml:space="preserve">10.  </w:t>
      </w:r>
      <w:r>
        <w:rPr>
          <w:b/>
          <w:bCs/>
          <w:color w:val="111a14"/>
          <w:sz w:val="22"/>
          <w:szCs w:val="22"/>
        </w:rPr>
        <w:t xml:space="preserve">Confidentiality</w:t>
      </w:r>
    </w:p>
    <w:p>
      <w:pPr>
        <w:spacing w:after="120" w:line="276"/>
        <w:jc w:val="both"/>
      </w:pPr>
      <w:r>
        <w:rPr>
          <w:sz w:val="21"/>
          <w:szCs w:val="21"/>
        </w:rPr>
        <w:t xml:space="preserve">Operator’s rates, splits, location list, and terms are confidential. Broker shall not disclose or use them outside this Agreement, during the term or after it ends.</w:t>
      </w:r>
    </w:p>
    <w:p>
      <w:pPr>
        <w:keepNext/>
        <w:spacing w:after="64" w:before="190"/>
      </w:pPr>
      <w:r>
        <w:rPr>
          <w:b/>
          <w:bCs/>
          <w:color w:val="1a5c38"/>
          <w:sz w:val="22"/>
          <w:szCs w:val="22"/>
        </w:rPr>
        <w:t xml:space="preserve">11.  </w:t>
      </w:r>
      <w:r>
        <w:rPr>
          <w:b/>
          <w:bCs/>
          <w:color w:val="111a14"/>
          <w:sz w:val="22"/>
          <w:szCs w:val="22"/>
        </w:rPr>
        <w:t xml:space="preserve">Term and Termination</w:t>
      </w:r>
    </w:p>
    <w:p>
      <w:pPr>
        <w:spacing w:after="120" w:line="276"/>
        <w:jc w:val="both"/>
      </w:pPr>
      <w:r>
        <w:rPr>
          <w:sz w:val="21"/>
          <w:szCs w:val="21"/>
        </w:rPr>
        <w:t xml:space="preserve">This Agreement runs until ended by either party on the notice stated in the Deal Terms. Commissions already earned on installed, processing machines survive termination under Terms 4 and 5. Non-circumvention and confidentiality survive as stated.</w:t>
      </w:r>
    </w:p>
    <w:p>
      <w:pPr>
        <w:keepNext/>
        <w:spacing w:after="64" w:before="190"/>
      </w:pPr>
      <w:r>
        <w:rPr>
          <w:b/>
          <w:bCs/>
          <w:color w:val="1a5c38"/>
          <w:sz w:val="22"/>
          <w:szCs w:val="22"/>
        </w:rPr>
        <w:t xml:space="preserve">12.  </w:t>
      </w:r>
      <w:r>
        <w:rPr>
          <w:b/>
          <w:bCs/>
          <w:color w:val="111a14"/>
          <w:sz w:val="22"/>
          <w:szCs w:val="22"/>
        </w:rPr>
        <w:t xml:space="preserve">Governing Law, Entire Agreement, and Fees</w:t>
      </w:r>
    </w:p>
    <w:p>
      <w:pPr>
        <w:spacing w:after="120" w:line="276"/>
        <w:jc w:val="both"/>
      </w:pPr>
      <w:r>
        <w:rPr>
          <w:sz w:val="21"/>
          <w:szCs w:val="21"/>
        </w:rPr>
        <w:t xml:space="preserve">This Agreement is governed by the law of the state stated in the Deal Terms, with venue in the county stated there, and represents the parties’ entire understanding, amendable only in a writing signed by both. If any provision is held invalid, the rest remain in effect. The prevailing party in any dispute recovers its costs and reasonable attorney’s fees.</w:t>
      </w:r>
    </w:p>
    <w:p>
      <w:pPr>
        <w:keepNext/>
        <w:pBdr>
          <w:bottom w:val="single" w:color="1a5c38" w:sz="8" w:space="3"/>
        </w:pBdr>
        <w:spacing w:after="90" w:before="230"/>
      </w:pPr>
      <w:r>
        <w:rPr>
          <w:b/>
          <w:bCs/>
          <w:color w:val="1a5c38"/>
          <w:spacing w:val="14"/>
          <w:sz w:val="19"/>
          <w:szCs w:val="19"/>
        </w:rPr>
        <w:t xml:space="preserve">8  ·  SIGNATURES</w:t>
      </w:r>
    </w:p>
    <w:p>
      <w:pPr>
        <w:spacing w:after="120" w:line="276"/>
        <w:jc w:val="both"/>
      </w:pPr>
      <w:r>
        <w:rPr>
          <w:sz w:val="21"/>
          <w:szCs w:val="21"/>
        </w:rPr>
        <w:t xml:space="preserve">IN WITNESS WHEREOF, the parties have executed this Agreement. Each signer represents they are authorized to do so; print name and title.</w:t>
      </w:r>
    </w:p>
    <w:tbl>
      <w:tblPr>
        <w:tblW w:type="dxa" w:w="9360"/>
        <w:tblBorders>
          <w:top w:val="none"/>
          <w:left w:val="none"/>
          <w:bottom w:val="none"/>
          <w:right w:val="none"/>
          <w:insideH w:val="none"/>
          <w:insideV w:val="none"/>
        </w:tblBorders>
      </w:tblPr>
      <w:tblGrid>
        <w:gridCol w:w="4680"/>
        <w:gridCol w:w="4680"/>
      </w:tblGrid>
      <w:tr>
        <w:tc>
          <w:tcPr>
            <w:tcW w:type="dxa" w:w="4680"/>
            <w:tcBorders>
              <w:top w:val="none"/>
              <w:left w:val="none"/>
              <w:bottom w:val="none"/>
              <w:right w:val="none"/>
            </w:tcBorders>
            <w:tcMar>
              <w:top w:type="dxa" w:w="60"/>
              <w:right w:type="dxa" w:w="240"/>
            </w:tcMar>
          </w:tcPr>
          <w:p>
            <w:pPr>
              <w:spacing w:after="40"/>
            </w:pPr>
            <w:r>
              <w:rPr>
                <w:b/>
                <w:bCs/>
                <w:color w:val="1a5c38"/>
                <w:sz w:val="19"/>
                <w:szCs w:val="19"/>
              </w:rPr>
              <w:t xml:space="preserve">OPERATOR</w:t>
            </w:r>
          </w:p>
          <w:p>
            <w:pPr>
              <w:pBdr>
                <w:bottom w:val="single" w:color="888888" w:sz="6" w:space="2"/>
              </w:pBdr>
              <w:spacing w:after="26" w:before="300"/>
            </w:pPr>
            <w:r>
              <w:rPr>
                <w:sz w:val="21"/>
                <w:szCs w:val="21"/>
              </w:rPr>
              <w:t xml:space="preserve"/>
            </w:r>
          </w:p>
          <w:p>
            <w:pPr>
              <w:spacing w:after="14"/>
            </w:pPr>
            <w:r>
              <w:rPr>
                <w:color w:val="555555"/>
                <w:sz w:val="16"/>
                <w:szCs w:val="16"/>
              </w:rPr>
              <w:t xml:space="preserve">Signature of authorized individual</w:t>
            </w:r>
          </w:p>
          <w:p>
            <w:pPr>
              <w:pBdr>
                <w:bottom w:val="single" w:color="888888" w:sz="6" w:space="2"/>
              </w:pBdr>
              <w:spacing w:after="26" w:before="380"/>
            </w:pPr>
            <w:r>
              <w:rPr>
                <w:sz w:val="21"/>
                <w:szCs w:val="21"/>
              </w:rPr>
              <w:t xml:space="preserve"/>
            </w:r>
          </w:p>
          <w:p>
            <w:pPr>
              <w:spacing w:after="14"/>
            </w:pPr>
            <w:r>
              <w:rPr>
                <w:color w:val="555555"/>
                <w:sz w:val="16"/>
                <w:szCs w:val="16"/>
              </w:rPr>
              <w:t xml:space="preserve">Print name &amp; title</w:t>
            </w:r>
          </w:p>
          <w:p>
            <w:pPr>
              <w:pBdr>
                <w:bottom w:val="single" w:color="888888" w:sz="6" w:space="2"/>
              </w:pBdr>
              <w:spacing w:after="26" w:before="380"/>
            </w:pPr>
            <w:r>
              <w:rPr>
                <w:sz w:val="21"/>
                <w:szCs w:val="21"/>
              </w:rPr>
              <w:t xml:space="preserve"/>
            </w:r>
          </w:p>
          <w:p>
            <w:pPr>
              <w:spacing w:after="14"/>
            </w:pPr>
            <w:r>
              <w:rPr>
                <w:color w:val="555555"/>
                <w:sz w:val="16"/>
                <w:szCs w:val="16"/>
              </w:rPr>
              <w:t xml:space="preserve">Date</w:t>
            </w:r>
          </w:p>
        </w:tc>
        <w:tc>
          <w:tcPr>
            <w:tcW w:type="dxa" w:w="4680"/>
            <w:tcBorders>
              <w:top w:val="none"/>
              <w:left w:val="none"/>
              <w:bottom w:val="none"/>
              <w:right w:val="none"/>
            </w:tcBorders>
            <w:tcMar>
              <w:top w:type="dxa" w:w="60"/>
              <w:right w:type="dxa" w:w="240"/>
            </w:tcMar>
          </w:tcPr>
          <w:p>
            <w:pPr>
              <w:spacing w:after="40"/>
            </w:pPr>
            <w:r>
              <w:rPr>
                <w:b/>
                <w:bCs/>
                <w:color w:val="1a5c38"/>
                <w:sz w:val="19"/>
                <w:szCs w:val="19"/>
              </w:rPr>
              <w:t xml:space="preserve">BROKER</w:t>
            </w:r>
          </w:p>
          <w:p>
            <w:pPr>
              <w:pBdr>
                <w:bottom w:val="single" w:color="888888" w:sz="6" w:space="2"/>
              </w:pBdr>
              <w:spacing w:after="26" w:before="300"/>
            </w:pPr>
            <w:r>
              <w:rPr>
                <w:sz w:val="21"/>
                <w:szCs w:val="21"/>
              </w:rPr>
              <w:t xml:space="preserve"/>
            </w:r>
          </w:p>
          <w:p>
            <w:pPr>
              <w:spacing w:after="14"/>
            </w:pPr>
            <w:r>
              <w:rPr>
                <w:color w:val="555555"/>
                <w:sz w:val="16"/>
                <w:szCs w:val="16"/>
              </w:rPr>
              <w:t xml:space="preserve">Signature of authorized individual</w:t>
            </w:r>
          </w:p>
          <w:p>
            <w:pPr>
              <w:pBdr>
                <w:bottom w:val="single" w:color="888888" w:sz="6" w:space="2"/>
              </w:pBdr>
              <w:spacing w:after="26" w:before="380"/>
            </w:pPr>
            <w:r>
              <w:rPr>
                <w:sz w:val="21"/>
                <w:szCs w:val="21"/>
              </w:rPr>
              <w:t xml:space="preserve"/>
            </w:r>
          </w:p>
          <w:p>
            <w:pPr>
              <w:spacing w:after="14"/>
            </w:pPr>
            <w:r>
              <w:rPr>
                <w:color w:val="555555"/>
                <w:sz w:val="16"/>
                <w:szCs w:val="16"/>
              </w:rPr>
              <w:t xml:space="preserve">Print name &amp; title</w:t>
            </w:r>
          </w:p>
          <w:p>
            <w:pPr>
              <w:pBdr>
                <w:bottom w:val="single" w:color="888888" w:sz="6" w:space="2"/>
              </w:pBdr>
              <w:spacing w:after="26" w:before="380"/>
            </w:pPr>
            <w:r>
              <w:rPr>
                <w:sz w:val="21"/>
                <w:szCs w:val="21"/>
              </w:rPr>
              <w:t xml:space="preserve"/>
            </w:r>
          </w:p>
          <w:p>
            <w:pPr>
              <w:spacing w:after="14"/>
            </w:pPr>
            <w:r>
              <w:rPr>
                <w:color w:val="555555"/>
                <w:sz w:val="16"/>
                <w:szCs w:val="16"/>
              </w:rPr>
              <w:t xml:space="preserve">Date</w:t>
            </w:r>
          </w:p>
        </w:tc>
      </w:tr>
    </w:tbl>
    <w:tbl>
      <w:tblPr>
        <w:tblW w:type="dxa" w:w="9360"/>
        <w:tblBorders>
          <w:top w:val="single" w:color="1a5c38" w:sz="8"/>
          <w:left w:val="single" w:color="1a5c38" w:sz="8"/>
          <w:bottom w:val="single" w:color="1a5c38" w:sz="8"/>
          <w:right w:val="single" w:color="1a5c38" w:sz="8"/>
          <w:insideH w:val="none"/>
          <w:insideV w:val="none"/>
        </w:tblBorders>
      </w:tblPr>
      <w:tblGrid>
        <w:gridCol w:w="9360"/>
      </w:tblGrid>
      <w:tr>
        <w:tc>
          <w:tcPr>
            <w:tcW w:type="dxa" w:w="9360"/>
            <w:tcBorders>
              <w:top w:val="none"/>
              <w:left w:val="none"/>
              <w:bottom w:val="none"/>
              <w:right w:val="none"/>
            </w:tcBorders>
            <w:tcMar>
              <w:top w:type="dxa" w:w="90"/>
              <w:left w:type="dxa" w:w="160"/>
              <w:bottom w:type="dxa" w:w="120"/>
              <w:right w:type="dxa" w:w="150"/>
            </w:tcMar>
          </w:tcPr>
          <w:p>
            <w:pPr>
              <w:spacing w:after="40"/>
            </w:pPr>
            <w:r>
              <w:rPr>
                <w:b/>
                <w:bCs/>
                <w:color w:val="1a5c38"/>
                <w:sz w:val="17"/>
                <w:szCs w:val="17"/>
              </w:rPr>
              <w:t xml:space="preserve">NOTES / SPECIAL TERMS</w:t>
            </w:r>
            <w:r>
              <w:rPr>
                <w:i/>
                <w:iCs/>
                <w:color w:val="555555"/>
                <w:sz w:val="16"/>
                <w:szCs w:val="16"/>
              </w:rPr>
              <w:t xml:space="preserve">   (if used, both parties initial and date here)</w:t>
            </w:r>
          </w:p>
          <w:p>
            <w:pPr>
              <w:pBdr>
                <w:bottom w:val="single" w:color="9aa39d" w:sz="6" w:space="3"/>
              </w:pBdr>
              <w:spacing w:after="6" w:before="300"/>
            </w:pPr>
            <w:r>
              <w:rPr>
                <w:sz w:val="20"/>
                <w:szCs w:val="20"/>
              </w:rPr>
              <w:t xml:space="preserve"/>
            </w:r>
          </w:p>
          <w:p>
            <w:pPr>
              <w:pBdr>
                <w:bottom w:val="single" w:color="9aa39d" w:sz="6" w:space="3"/>
              </w:pBdr>
              <w:spacing w:after="6" w:before="300"/>
            </w:pPr>
            <w:r>
              <w:rPr>
                <w:sz w:val="20"/>
                <w:szCs w:val="20"/>
              </w:rPr>
              <w:t xml:space="preserve"/>
            </w:r>
          </w:p>
        </w:tc>
      </w:tr>
    </w:tbl>
    <w:p>
      <w:pPr>
        <w:pBdr>
          <w:bottom w:val="single" w:color="cccccc" w:sz="6" w:space="1"/>
        </w:pBdr>
        <w:spacing w:after="80" w:before="120"/>
      </w:pPr>
      <w:r>
        <w:t xml:space="preserve"/>
      </w:r>
    </w:p>
    <w:p>
      <w:pPr>
        <w:spacing w:before="60"/>
      </w:pPr>
      <w:r>
        <w:rPr>
          <w:b/>
          <w:bCs/>
          <w:color w:val="555555"/>
          <w:sz w:val="16"/>
          <w:szCs w:val="16"/>
        </w:rPr>
        <w:t xml:space="preserve">Not legal advice.  </w:t>
      </w:r>
      <w:r>
        <w:rPr>
          <w:color w:val="555555"/>
          <w:sz w:val="16"/>
          <w:szCs w:val="16"/>
        </w:rPr>
        <w:t xml:space="preserve">This template reflects how ATM finder and referral arrangements are commonly structured, written independently for general use.  Rules vary by state; have a licensed attorney in your state review the final version before anyone signs.   © </w:t>
      </w:r>
      <w:r>
        <w:rPr>
          <w:b/>
          <w:bCs/>
          <w:color w:val="1a5c38"/>
          <w:sz w:val="16"/>
          <w:szCs w:val="16"/>
        </w:rPr>
        <w:t xml:space="preserve">ATMforSale.net</w:t>
      </w:r>
    </w:p>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4" w:space="6"/>
      </w:pBdr>
      <w:jc w:val="center"/>
    </w:pPr>
    <w:r>
      <w:rPr>
        <w:color w:val="555555"/>
        <w:sz w:val="15"/>
        <w:szCs w:val="15"/>
      </w:rPr>
      <w:t xml:space="preserve">ATM Broker &amp; Location-Finder Agreement     |     ATMforSale.net     |     Page </w:t>
    </w:r>
    <w:r>
      <w:rPr>
        <w:color w:val="555555"/>
        <w:sz w:val="15"/>
        <w:szCs w:val="15"/>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11a14"/>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ATM Broker &amp; Location-Finder Agreement</dc:title>
  <dc:creator>ATMforSale.net</dc:creator>
  <cp:lastModifiedBy>Un-named</cp:lastModifiedBy>
  <cp:revision>1</cp:revision>
  <dcterms:created xsi:type="dcterms:W3CDTF">2026-08-08T22:46:12.738Z</dcterms:created>
  <dcterms:modified xsi:type="dcterms:W3CDTF">2026-08-08T22:46:12.738Z</dcterms:modified>
</cp:coreProperties>
</file>

<file path=docProps/custom.xml><?xml version="1.0" encoding="utf-8"?>
<Properties xmlns="http://schemas.openxmlformats.org/officeDocument/2006/custom-properties" xmlns:vt="http://schemas.openxmlformats.org/officeDocument/2006/docPropsVTypes"/>
</file>