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a5c38" w:val="clear"/>
        <w:spacing w:after="20" w:before="300"/>
        <w:jc w:val="center"/>
      </w:pPr>
      <w:r>
        <w:rPr>
          <w:b/>
          <w:bCs/>
          <w:color w:val="FFFFFF"/>
          <w:spacing w:val="8"/>
          <w:sz w:val="30"/>
          <w:szCs w:val="30"/>
        </w:rPr>
        <w:t xml:space="preserve">ATM CASH LOADING AGREEMENT</w:t>
      </w:r>
    </w:p>
    <w:p>
      <w:pPr>
        <w:pBdr>
          <w:bottom w:val="single" w:color="b0892f" w:sz="18" w:space="0"/>
        </w:pBdr>
        <w:shd w:fill="1a5c38" w:val="clear"/>
        <w:spacing w:after="300"/>
        <w:jc w:val="center"/>
      </w:pPr>
      <w:r>
        <w:rPr>
          <w:i/>
          <w:iCs/>
          <w:color w:val="d8e8de"/>
          <w:sz w:val="19"/>
          <w:szCs w:val="19"/>
        </w:rPr>
        <w:t xml:space="preserve">Between the ATM Operator and the Cash Loader</w:t>
      </w:r>
    </w:p>
    <w:p>
      <w:pPr>
        <w:spacing w:after="130" w:before="80"/>
      </w:pPr>
      <w:r>
        <w:rPr>
          <w:b/>
          <w:bCs/>
          <w:color w:val="1a5c38"/>
          <w:sz w:val="19"/>
          <w:szCs w:val="19"/>
        </w:rPr>
        <w:t xml:space="preserve">Best for:  </w:t>
      </w:r>
      <w:r>
        <w:rPr>
          <w:color w:val="2f3a33"/>
          <w:sz w:val="19"/>
          <w:szCs w:val="19"/>
        </w:rPr>
        <w:t xml:space="preserve">operators who hire someone to physically fill machines on a route: a partner, a paid contractor, or a trusted local near a site you cannot reach every week. This is the agreement for the person who touches your cash and holds your keys, so it is stricter than a placement deal.</w:t>
      </w:r>
    </w:p>
    <w:p>
      <w:pPr>
        <w:spacing w:after="120" w:line="276"/>
        <w:jc w:val="both"/>
      </w:pPr>
      <w:r>
        <w:rPr>
          <w:sz w:val="21"/>
          <w:szCs w:val="21"/>
        </w:rPr>
        <w:t xml:space="preserve">This Agreement is made on the Effective Date below between the Operator and the Loader identified here. Fill in the parties, the assigned machines, the Deal Terms, and the Pay Schedule, then sign. The numbered Terms that follow bind both parties.</w:t>
      </w:r>
    </w:p>
    <w:p>
      <w:pPr>
        <w:keepNext/>
        <w:pBdr>
          <w:bottom w:val="single" w:color="1a5c38" w:sz="8" w:space="3"/>
        </w:pBdr>
        <w:spacing w:after="90" w:before="230"/>
      </w:pPr>
      <w:r>
        <w:rPr>
          <w:b/>
          <w:bCs/>
          <w:color w:val="1a5c38"/>
          <w:spacing w:val="14"/>
          <w:sz w:val="19"/>
          <w:szCs w:val="19"/>
        </w:rPr>
        <w:t xml:space="preserve">1  ·  THE PARTIES</w:t>
      </w:r>
    </w:p>
    <w:tbl>
      <w:tblPr>
        <w:tblW w:type="dxa" w:w="9360"/>
        <w:tblBorders>
          <w:top w:val="single" w:color="1a5c38" w:sz="10"/>
          <w:left w:val="single" w:color="1a5c38" w:sz="10"/>
          <w:bottom w:val="single" w:color="1a5c38" w:sz="10"/>
          <w:right w:val="single" w:color="1a5c38" w:sz="10"/>
          <w:insideH w:val="none"/>
          <w:insideV w:val="single" w:color="1a5c38" w:sz="8"/>
        </w:tblBorders>
      </w:tblPr>
      <w:tblGrid>
        <w:gridCol w:w="4680"/>
        <w:gridCol w:w="4680"/>
      </w:tblGrid>
      <w:tr>
        <w:tc>
          <w:tcPr>
            <w:tcW w:type="dxa" w:w="4680"/>
            <w:tcBorders>
              <w:top w:val="none"/>
              <w:left w:val="none"/>
              <w:bottom w:val="none"/>
              <w:right w:val="none"/>
            </w:tcBorders>
            <w:tcMar>
              <w:top w:type="dxa" w:w="120"/>
              <w:left w:type="dxa" w:w="170"/>
              <w:bottom w:type="dxa" w:w="140"/>
              <w:right w:type="dxa" w:w="170"/>
            </w:tcMar>
          </w:tcPr>
          <w:p>
            <w:pPr>
              <w:spacing w:after="2"/>
            </w:pPr>
            <w:r>
              <w:rPr>
                <w:b/>
                <w:bCs/>
                <w:color w:val="1a5c38"/>
                <w:sz w:val="20"/>
                <w:szCs w:val="20"/>
              </w:rPr>
              <w:t xml:space="preserve">OPERATOR  (you)</w:t>
            </w:r>
          </w:p>
          <w:p>
            <w:pPr>
              <w:spacing w:after="20"/>
            </w:pPr>
            <w:r>
              <w:rPr>
                <w:i/>
                <w:iCs/>
                <w:color w:val="555555"/>
                <w:sz w:val="16"/>
                <w:szCs w:val="16"/>
              </w:rPr>
              <w:t xml:space="preserve">the ATM owner supplying the cash</w:t>
            </w:r>
          </w:p>
          <w:p>
            <w:pPr>
              <w:pBdr>
                <w:bottom w:val="single" w:color="9aa39d" w:sz="6" w:space="3"/>
              </w:pBdr>
              <w:spacing w:after="20" w:before="200"/>
            </w:pPr>
            <w:r>
              <w:rPr>
                <w:sz w:val="20"/>
                <w:szCs w:val="20"/>
              </w:rPr>
              <w:t xml:space="preserve"/>
            </w:r>
          </w:p>
          <w:p>
            <w:pPr>
              <w:spacing w:after="10"/>
            </w:pPr>
            <w:r>
              <w:rPr>
                <w:color w:val="555555"/>
                <w:sz w:val="16"/>
                <w:szCs w:val="16"/>
              </w:rPr>
              <w:t xml:space="preserve">Legal business name &amp; entity</w:t>
            </w:r>
          </w:p>
          <w:p>
            <w:pPr>
              <w:pBdr>
                <w:bottom w:val="single" w:color="9aa39d" w:sz="6" w:space="3"/>
              </w:pBdr>
              <w:spacing w:after="20" w:before="300"/>
            </w:pPr>
            <w:r>
              <w:rPr>
                <w:sz w:val="20"/>
                <w:szCs w:val="20"/>
              </w:rPr>
              <w:t xml:space="preserve"/>
            </w:r>
          </w:p>
          <w:p>
            <w:pPr>
              <w:spacing w:after="10"/>
            </w:pPr>
            <w:r>
              <w:rPr>
                <w:color w:val="555555"/>
                <w:sz w:val="16"/>
                <w:szCs w:val="16"/>
              </w:rPr>
              <w:t xml:space="preserve">State of formation</w:t>
            </w:r>
          </w:p>
          <w:p>
            <w:pPr>
              <w:pBdr>
                <w:bottom w:val="single" w:color="9aa39d" w:sz="6" w:space="3"/>
              </w:pBdr>
              <w:spacing w:after="20" w:before="300"/>
            </w:pPr>
            <w:r>
              <w:rPr>
                <w:sz w:val="20"/>
                <w:szCs w:val="20"/>
              </w:rPr>
              <w:t xml:space="preserve"/>
            </w:r>
          </w:p>
          <w:p>
            <w:pPr>
              <w:spacing w:after="10"/>
            </w:pPr>
            <w:r>
              <w:rPr>
                <w:color w:val="555555"/>
                <w:sz w:val="16"/>
                <w:szCs w:val="16"/>
              </w:rPr>
              <w:t xml:space="preserve">Business mailing address</w:t>
            </w:r>
          </w:p>
          <w:p>
            <w:pPr>
              <w:pBdr>
                <w:bottom w:val="single" w:color="9aa39d" w:sz="6" w:space="3"/>
              </w:pBdr>
              <w:spacing w:after="20" w:before="300"/>
            </w:pPr>
            <w:r>
              <w:rPr>
                <w:sz w:val="20"/>
                <w:szCs w:val="20"/>
              </w:rPr>
              <w:t xml:space="preserve"/>
            </w:r>
          </w:p>
          <w:p>
            <w:pPr>
              <w:spacing w:after="10"/>
            </w:pPr>
            <w:r>
              <w:rPr>
                <w:color w:val="555555"/>
                <w:sz w:val="16"/>
                <w:szCs w:val="16"/>
              </w:rPr>
              <w:t xml:space="preserve">Contact name  /  phone  /  email</w:t>
            </w:r>
          </w:p>
        </w:tc>
        <w:tc>
          <w:tcPr>
            <w:tcW w:type="dxa" w:w="4680"/>
            <w:tcBorders>
              <w:top w:val="none"/>
              <w:left w:val="none"/>
              <w:bottom w:val="none"/>
              <w:right w:val="none"/>
            </w:tcBorders>
            <w:tcMar>
              <w:top w:type="dxa" w:w="120"/>
              <w:left w:type="dxa" w:w="170"/>
              <w:bottom w:type="dxa" w:w="140"/>
              <w:right w:type="dxa" w:w="170"/>
            </w:tcMar>
          </w:tcPr>
          <w:p>
            <w:pPr>
              <w:spacing w:after="2"/>
            </w:pPr>
            <w:r>
              <w:rPr>
                <w:b/>
                <w:bCs/>
                <w:color w:val="1a5c38"/>
                <w:sz w:val="20"/>
                <w:szCs w:val="20"/>
              </w:rPr>
              <w:t xml:space="preserve">LOADER  (the person loading)</w:t>
            </w:r>
          </w:p>
          <w:p>
            <w:pPr>
              <w:spacing w:after="20"/>
            </w:pPr>
            <w:r>
              <w:rPr>
                <w:i/>
                <w:iCs/>
                <w:color w:val="555555"/>
                <w:sz w:val="16"/>
                <w:szCs w:val="16"/>
              </w:rPr>
              <w:t xml:space="preserve">who receives the cash and fills the machines</w:t>
            </w:r>
          </w:p>
          <w:p>
            <w:pPr>
              <w:pBdr>
                <w:bottom w:val="single" w:color="9aa39d" w:sz="6" w:space="3"/>
              </w:pBdr>
              <w:spacing w:after="20" w:before="200"/>
            </w:pPr>
            <w:r>
              <w:rPr>
                <w:sz w:val="20"/>
                <w:szCs w:val="20"/>
              </w:rPr>
              <w:t xml:space="preserve"/>
            </w:r>
          </w:p>
          <w:p>
            <w:pPr>
              <w:spacing w:after="10"/>
            </w:pPr>
            <w:r>
              <w:rPr>
                <w:color w:val="555555"/>
                <w:sz w:val="16"/>
                <w:szCs w:val="16"/>
              </w:rPr>
              <w:t xml:space="preserve">Full legal name or business</w:t>
            </w:r>
          </w:p>
          <w:p>
            <w:pPr>
              <w:pBdr>
                <w:bottom w:val="single" w:color="9aa39d" w:sz="6" w:space="3"/>
              </w:pBdr>
              <w:spacing w:after="20" w:before="300"/>
            </w:pPr>
            <w:r>
              <w:rPr>
                <w:sz w:val="20"/>
                <w:szCs w:val="20"/>
              </w:rPr>
              <w:t xml:space="preserve"/>
            </w:r>
          </w:p>
          <w:p>
            <w:pPr>
              <w:spacing w:after="10"/>
            </w:pPr>
            <w:r>
              <w:rPr>
                <w:color w:val="555555"/>
                <w:sz w:val="16"/>
                <w:szCs w:val="16"/>
              </w:rPr>
              <w:t xml:space="preserve">Address</w:t>
            </w:r>
          </w:p>
          <w:p>
            <w:pPr>
              <w:pBdr>
                <w:bottom w:val="single" w:color="9aa39d" w:sz="6" w:space="3"/>
              </w:pBdr>
              <w:spacing w:after="20" w:before="300"/>
            </w:pPr>
            <w:r>
              <w:rPr>
                <w:sz w:val="20"/>
                <w:szCs w:val="20"/>
              </w:rPr>
              <w:t xml:space="preserve"/>
            </w:r>
          </w:p>
          <w:p>
            <w:pPr>
              <w:spacing w:after="10"/>
            </w:pPr>
            <w:r>
              <w:rPr>
                <w:color w:val="555555"/>
                <w:sz w:val="16"/>
                <w:szCs w:val="16"/>
              </w:rPr>
              <w:t xml:space="preserve">Phone  /  email</w:t>
            </w:r>
          </w:p>
          <w:p>
            <w:pPr>
              <w:pBdr>
                <w:bottom w:val="single" w:color="9aa39d" w:sz="6" w:space="3"/>
              </w:pBdr>
              <w:spacing w:after="20" w:before="300"/>
            </w:pPr>
            <w:r>
              <w:rPr>
                <w:sz w:val="20"/>
                <w:szCs w:val="20"/>
              </w:rPr>
              <w:t xml:space="preserve"/>
            </w:r>
          </w:p>
          <w:p>
            <w:pPr>
              <w:spacing w:after="10"/>
            </w:pPr>
            <w:r>
              <w:rPr>
                <w:color w:val="555555"/>
                <w:sz w:val="16"/>
                <w:szCs w:val="16"/>
              </w:rPr>
              <w:t xml:space="preserve">Driver’s license or EIN</w:t>
            </w:r>
          </w:p>
        </w:tc>
      </w:tr>
    </w:tbl>
    <w:p>
      <w:pPr>
        <w:keepNext/>
        <w:pBdr>
          <w:bottom w:val="single" w:color="1a5c38" w:sz="8" w:space="3"/>
        </w:pBdr>
        <w:spacing w:after="90" w:before="230"/>
      </w:pPr>
      <w:r>
        <w:rPr>
          <w:b/>
          <w:bCs/>
          <w:color w:val="1a5c38"/>
          <w:spacing w:val="14"/>
          <w:sz w:val="19"/>
          <w:szCs w:val="19"/>
        </w:rPr>
        <w:t xml:space="preserve">2  ·  ASSIGNED MACHINES</w:t>
      </w:r>
    </w:p>
    <w:p>
      <w:pPr>
        <w:spacing w:after="100"/>
      </w:pPr>
      <w:r>
        <w:rPr>
          <w:color w:val="2f3a33"/>
          <w:sz w:val="19"/>
          <w:szCs w:val="19"/>
        </w:rPr>
        <w:t xml:space="preserve">List each machine the Loader is responsible for. Attach a separate route sheet if there are more than three.</w:t>
      </w:r>
    </w:p>
    <w:tbl>
      <w:tblPr>
        <w:tblW w:type="dxa" w:w="9360"/>
        <w:tblBorders>
          <w:top w:val="single" w:color="1a5c38" w:sz="10"/>
          <w:left w:val="single" w:color="1a5c38" w:sz="10"/>
          <w:bottom w:val="single" w:color="1a5c38" w:sz="10"/>
          <w:right w:val="single" w:color="1a5c38" w:sz="10"/>
          <w:insideH w:val="none"/>
          <w:insideV w:val="none"/>
        </w:tblBorders>
      </w:tblPr>
      <w:tblGrid>
        <w:gridCol w:w="1500"/>
        <w:gridCol w:w="7860"/>
      </w:tblGrid>
      <w:tr>
        <w:trPr>
          <w:trHeight w:val="520" w:hRule="atLeast"/>
        </w:trPr>
        <w:tc>
          <w:tcPr>
            <w:tcW w:type="dxa" w:w="1500"/>
            <w:tcBorders>
              <w:top w:val="none"/>
              <w:left w:val="none"/>
              <w:bottom w:val="none"/>
              <w:right w:val="none"/>
            </w:tcBorders>
            <w:shd w:fill="f4f8f5" w:val="clear"/>
            <w:tcMar>
              <w:top w:type="dxa" w:w="80"/>
              <w:left w:type="dxa" w:w="150"/>
              <w:bottom w:type="dxa" w:w="80"/>
              <w:right w:type="dxa" w:w="100"/>
            </w:tcMar>
          </w:tcPr>
          <w:p>
            <w:r>
              <w:rPr>
                <w:b/>
                <w:bCs/>
                <w:color w:val="111a14"/>
                <w:sz w:val="19"/>
                <w:szCs w:val="19"/>
              </w:rPr>
              <w:t xml:space="preserve">Machine 1</w:t>
            </w:r>
          </w:p>
        </w:tc>
        <w:tc>
          <w:tcPr>
            <w:tcW w:type="dxa" w:w="7860"/>
            <w:tcBorders>
              <w:top w:val="none"/>
              <w:left w:val="none"/>
              <w:bottom w:val="single" w:color="9aa39d" w:sz="6" w:space="2"/>
              <w:right w:val="none"/>
            </w:tcBorders>
            <w:tcMar>
              <w:top w:type="dxa" w:w="80"/>
              <w:left w:type="dxa" w:w="150"/>
              <w:bottom w:type="dxa" w:w="80"/>
              <w:right w:type="dxa" w:w="120"/>
            </w:tcMar>
          </w:tcPr>
          <w:p>
            <w:r>
              <w:rPr>
                <w:i/>
                <w:iCs/>
                <w:color w:val="9aa39d"/>
                <w:sz w:val="17"/>
                <w:szCs w:val="17"/>
              </w:rPr>
              <w:t xml:space="preserve">     terminal ID and the site name / address</w:t>
            </w:r>
          </w:p>
        </w:tc>
      </w:tr>
      <w:tr>
        <w:trPr>
          <w:trHeight w:val="520" w:hRule="atLeast"/>
        </w:trPr>
        <w:tc>
          <w:tcPr>
            <w:tcW w:type="dxa" w:w="1500"/>
            <w:tcBorders>
              <w:top w:val="none"/>
              <w:left w:val="none"/>
              <w:bottom w:val="none"/>
              <w:right w:val="none"/>
            </w:tcBorders>
            <w:shd w:fill="f4f8f5" w:val="clear"/>
            <w:tcMar>
              <w:top w:type="dxa" w:w="80"/>
              <w:left w:type="dxa" w:w="150"/>
              <w:bottom w:type="dxa" w:w="80"/>
              <w:right w:type="dxa" w:w="100"/>
            </w:tcMar>
          </w:tcPr>
          <w:p>
            <w:r>
              <w:rPr>
                <w:b/>
                <w:bCs/>
                <w:color w:val="111a14"/>
                <w:sz w:val="19"/>
                <w:szCs w:val="19"/>
              </w:rPr>
              <w:t xml:space="preserve">Machine 2</w:t>
            </w:r>
          </w:p>
        </w:tc>
        <w:tc>
          <w:tcPr>
            <w:tcW w:type="dxa" w:w="7860"/>
            <w:tcBorders>
              <w:top w:val="none"/>
              <w:left w:val="none"/>
              <w:bottom w:val="single" w:color="9aa39d" w:sz="6" w:space="2"/>
              <w:right w:val="none"/>
            </w:tcBorders>
            <w:tcMar>
              <w:top w:type="dxa" w:w="80"/>
              <w:left w:type="dxa" w:w="150"/>
              <w:bottom w:type="dxa" w:w="80"/>
              <w:right w:type="dxa" w:w="120"/>
            </w:tcMar>
          </w:tcPr>
          <w:p>
            <w:r>
              <w:rPr>
                <w:i/>
                <w:iCs/>
                <w:color w:val="9aa39d"/>
                <w:sz w:val="17"/>
                <w:szCs w:val="17"/>
              </w:rPr>
              <w:t xml:space="preserve">     terminal ID and the site name / address</w:t>
            </w:r>
          </w:p>
        </w:tc>
      </w:tr>
      <w:tr>
        <w:trPr>
          <w:trHeight w:val="520" w:hRule="atLeast"/>
        </w:trPr>
        <w:tc>
          <w:tcPr>
            <w:tcW w:type="dxa" w:w="1500"/>
            <w:tcBorders>
              <w:top w:val="none"/>
              <w:left w:val="none"/>
              <w:bottom w:val="none"/>
              <w:right w:val="none"/>
            </w:tcBorders>
            <w:shd w:fill="f4f8f5" w:val="clear"/>
            <w:tcMar>
              <w:top w:type="dxa" w:w="80"/>
              <w:left w:type="dxa" w:w="150"/>
              <w:bottom w:type="dxa" w:w="80"/>
              <w:right w:type="dxa" w:w="100"/>
            </w:tcMar>
          </w:tcPr>
          <w:p>
            <w:r>
              <w:rPr>
                <w:b/>
                <w:bCs/>
                <w:color w:val="111a14"/>
                <w:sz w:val="19"/>
                <w:szCs w:val="19"/>
              </w:rPr>
              <w:t xml:space="preserve">Machine 3</w:t>
            </w:r>
          </w:p>
        </w:tc>
        <w:tc>
          <w:tcPr>
            <w:tcW w:type="dxa" w:w="7860"/>
            <w:tcBorders>
              <w:top w:val="none"/>
              <w:left w:val="none"/>
              <w:bottom w:val="single" w:color="9aa39d" w:sz="6" w:space="2"/>
              <w:right w:val="none"/>
            </w:tcBorders>
            <w:tcMar>
              <w:top w:type="dxa" w:w="80"/>
              <w:left w:type="dxa" w:w="150"/>
              <w:bottom w:type="dxa" w:w="80"/>
              <w:right w:type="dxa" w:w="120"/>
            </w:tcMar>
          </w:tcPr>
          <w:p>
            <w:r>
              <w:rPr>
                <w:i/>
                <w:iCs/>
                <w:color w:val="9aa39d"/>
                <w:sz w:val="17"/>
                <w:szCs w:val="17"/>
              </w:rPr>
              <w:t xml:space="preserve">     terminal ID and the site name / address</w:t>
            </w:r>
          </w:p>
        </w:tc>
      </w:tr>
    </w:tbl>
    <w:p>
      <w:pPr>
        <w:keepNext/>
        <w:pBdr>
          <w:bottom w:val="single" w:color="1a5c38" w:sz="8" w:space="3"/>
        </w:pBdr>
        <w:spacing w:after="90" w:before="230"/>
      </w:pPr>
      <w:r>
        <w:rPr>
          <w:b/>
          <w:bCs/>
          <w:color w:val="1a5c38"/>
          <w:spacing w:val="14"/>
          <w:sz w:val="19"/>
          <w:szCs w:val="19"/>
        </w:rPr>
        <w:t xml:space="preserve">3  ·  RECITALS</w:t>
      </w:r>
    </w:p>
    <w:p>
      <w:pPr>
        <w:spacing w:after="100" w:line="270"/>
        <w:jc w:val="both"/>
      </w:pPr>
      <w:r>
        <w:rPr>
          <w:b/>
          <w:bCs/>
          <w:color w:val="1a5c38"/>
          <w:sz w:val="19"/>
          <w:szCs w:val="19"/>
        </w:rPr>
        <w:t xml:space="preserve">WHEREAS  </w:t>
      </w:r>
      <w:r>
        <w:rPr>
          <w:i/>
          <w:iCs/>
          <w:color w:val="333c36"/>
          <w:sz w:val="19"/>
          <w:szCs w:val="19"/>
        </w:rPr>
        <w:t xml:space="preserve">the Operator owns and operates automated teller machines that require regular cash replenishment; and</w:t>
      </w:r>
    </w:p>
    <w:p>
      <w:pPr>
        <w:spacing w:after="100" w:line="270"/>
        <w:jc w:val="both"/>
      </w:pPr>
      <w:r>
        <w:rPr>
          <w:b/>
          <w:bCs/>
          <w:color w:val="1a5c38"/>
          <w:sz w:val="19"/>
          <w:szCs w:val="19"/>
        </w:rPr>
        <w:t xml:space="preserve">WHEREAS  </w:t>
      </w:r>
      <w:r>
        <w:rPr>
          <w:i/>
          <w:iCs/>
          <w:color w:val="333c36"/>
          <w:sz w:val="19"/>
          <w:szCs w:val="19"/>
        </w:rPr>
        <w:t xml:space="preserve">the Loader agrees to receive the Operator’s cash and load the assigned machines on the Operator’s behalf, on the schedule and to the balances the Operator sets;</w:t>
      </w:r>
    </w:p>
    <w:p>
      <w:pPr>
        <w:spacing w:after="100" w:line="270"/>
        <w:jc w:val="both"/>
      </w:pPr>
      <w:r>
        <w:rPr>
          <w:b/>
          <w:bCs/>
          <w:color w:val="1a5c38"/>
          <w:sz w:val="19"/>
          <w:szCs w:val="19"/>
        </w:rPr>
        <w:t xml:space="preserve">NOW, THEREFORE,  </w:t>
      </w:r>
      <w:r>
        <w:rPr>
          <w:i/>
          <w:iCs/>
          <w:color w:val="333c36"/>
          <w:sz w:val="19"/>
          <w:szCs w:val="19"/>
        </w:rPr>
        <w:t xml:space="preserve">in exchange for the mutual promises below and other good and valuable consideration, the receipt of which each party acknowledges, the Operator and the Loader agree as follows.</w:t>
      </w:r>
    </w:p>
    <w:p>
      <w:pPr>
        <w:keepNext/>
        <w:pBdr>
          <w:bottom w:val="single" w:color="1a5c38" w:sz="8" w:space="3"/>
        </w:pBdr>
        <w:spacing w:after="90" w:before="230"/>
      </w:pPr>
      <w:r>
        <w:rPr>
          <w:b/>
          <w:bCs/>
          <w:color w:val="1a5c38"/>
          <w:spacing w:val="14"/>
          <w:sz w:val="19"/>
          <w:szCs w:val="19"/>
        </w:rPr>
        <w:t xml:space="preserve">4  ·  DEAL TERMS</w:t>
      </w:r>
    </w:p>
    <w:p>
      <w:pPr>
        <w:spacing w:after="100"/>
      </w:pPr>
      <w:r>
        <w:rPr>
          <w:color w:val="2f3a33"/>
          <w:sz w:val="19"/>
          <w:szCs w:val="19"/>
        </w:rPr>
        <w:t xml:space="preserve">Write your details on the lines below. The Terms point back to these figures, so you fill each one in only once.</w:t>
      </w:r>
    </w:p>
    <w:tbl>
      <w:tblPr>
        <w:tblW w:type="dxa" w:w="9360"/>
        <w:tblBorders>
          <w:top w:val="single" w:color="1a5c38" w:sz="10"/>
          <w:left w:val="single" w:color="1a5c38" w:sz="10"/>
          <w:bottom w:val="single" w:color="1a5c38" w:sz="10"/>
          <w:right w:val="single" w:color="1a5c38" w:sz="10"/>
          <w:insideH w:val="none"/>
          <w:insideV w:val="none"/>
        </w:tblBorders>
      </w:tblPr>
      <w:tblGrid>
        <w:gridCol w:w="3300"/>
        <w:gridCol w:w="6060"/>
      </w:tblGrid>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Effective date</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month / day / year</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Minimum balance / machine</w:t>
            </w:r>
          </w:p>
        </w:tc>
        <w:tc>
          <w:tcPr>
            <w:tcW w:type="dxa" w:w="6060"/>
            <w:tcBorders>
              <w:top w:val="none"/>
              <w:left w:val="none"/>
              <w:bottom w:val="single" w:color="9aa39d" w:sz="6" w:space="2"/>
              <w:right w:val="none"/>
            </w:tcBorders>
            <w:tcMar>
              <w:top w:type="dxa" w:w="60"/>
              <w:left w:type="dxa" w:w="120"/>
              <w:bottom w:type="dxa" w:w="60"/>
              <w:right w:type="dxa" w:w="120"/>
            </w:tcMar>
          </w:tcPr>
          <w:p>
            <w:r>
              <w:rPr>
                <w:color w:val="111a14"/>
                <w:sz w:val="21"/>
                <w:szCs w:val="21"/>
              </w:rPr>
              <w:t xml:space="preserve">$  </w:t>
            </w:r>
            <w:r>
              <w:rPr>
                <w:i/>
                <w:iCs/>
                <w:color w:val="9aa39d"/>
                <w:sz w:val="18"/>
                <w:szCs w:val="18"/>
              </w:rPr>
              <w:t xml:space="preserve">    keep each machine funded to at least</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Low-cash response</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loader refills within</w:t>
            </w:r>
            <w:r>
              <w:rPr>
                <w:color w:val="111a14"/>
                <w:sz w:val="21"/>
                <w:szCs w:val="21"/>
              </w:rPr>
              <w:t xml:space="preserve">  hours of an alert</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Reporting</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after each fill, report by</w:t>
            </w:r>
            <w:r>
              <w:rPr>
                <w:color w:val="111a14"/>
                <w:sz w:val="21"/>
                <w:szCs w:val="21"/>
              </w:rPr>
              <w:t xml:space="preserve">  app / text / email</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Operator pays loader</w:t>
            </w:r>
          </w:p>
        </w:tc>
        <w:tc>
          <w:tcPr>
            <w:tcW w:type="dxa" w:w="6060"/>
            <w:tcBorders>
              <w:top w:val="none"/>
              <w:left w:val="none"/>
              <w:bottom w:val="single" w:color="9aa39d" w:sz="6" w:space="2"/>
              <w:right w:val="none"/>
            </w:tcBorders>
            <w:tcMar>
              <w:top w:type="dxa" w:w="60"/>
              <w:left w:type="dxa" w:w="120"/>
              <w:bottom w:type="dxa" w:w="60"/>
              <w:right w:type="dxa" w:w="120"/>
            </w:tcMar>
          </w:tcPr>
          <w:p>
            <w:r>
              <w:rPr>
                <w:color w:val="111a14"/>
                <w:sz w:val="21"/>
                <w:szCs w:val="21"/>
              </w:rPr>
              <w:t xml:space="preserve">by the  </w:t>
            </w:r>
            <w:r>
              <w:rPr>
                <w:i/>
                <w:iCs/>
                <w:color w:val="9aa39d"/>
                <w:sz w:val="18"/>
                <w:szCs w:val="18"/>
              </w:rPr>
              <w:t xml:space="preserve">    pick a day</w:t>
            </w:r>
            <w:r>
              <w:rPr>
                <w:color w:val="111a14"/>
                <w:sz w:val="21"/>
                <w:szCs w:val="21"/>
              </w:rPr>
              <w:t xml:space="preserve">  of each month</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Bond / shortage cap</w:t>
            </w:r>
          </w:p>
        </w:tc>
        <w:tc>
          <w:tcPr>
            <w:tcW w:type="dxa" w:w="6060"/>
            <w:tcBorders>
              <w:top w:val="none"/>
              <w:left w:val="none"/>
              <w:bottom w:val="single" w:color="9aa39d" w:sz="6" w:space="2"/>
              <w:right w:val="none"/>
            </w:tcBorders>
            <w:tcMar>
              <w:top w:type="dxa" w:w="60"/>
              <w:left w:type="dxa" w:w="120"/>
              <w:bottom w:type="dxa" w:w="60"/>
              <w:right w:type="dxa" w:w="120"/>
            </w:tcMar>
          </w:tcPr>
          <w:p>
            <w:r>
              <w:rPr>
                <w:color w:val="111a14"/>
                <w:sz w:val="21"/>
                <w:szCs w:val="21"/>
              </w:rPr>
              <w:t xml:space="preserve">$  </w:t>
            </w:r>
            <w:r>
              <w:rPr>
                <w:i/>
                <w:iCs/>
                <w:color w:val="9aa39d"/>
                <w:sz w:val="18"/>
                <w:szCs w:val="18"/>
              </w:rPr>
              <w:t xml:space="preserve">    loader’s liability limit, if any</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Term &amp; notice</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either party may end on</w:t>
            </w:r>
            <w:r>
              <w:rPr>
                <w:color w:val="111a14"/>
                <w:sz w:val="21"/>
                <w:szCs w:val="21"/>
              </w:rPr>
              <w:t xml:space="preserve">  days written notice</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Governing law</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state / county</w:t>
            </w:r>
          </w:p>
        </w:tc>
      </w:tr>
    </w:tbl>
    <w:p>
      <w:pPr>
        <w:keepNext/>
        <w:pBdr>
          <w:bottom w:val="single" w:color="1a5c38" w:sz="8" w:space="3"/>
        </w:pBdr>
        <w:spacing w:after="90" w:before="230"/>
      </w:pPr>
      <w:r>
        <w:rPr>
          <w:b/>
          <w:bCs/>
          <w:color w:val="1a5c38"/>
          <w:spacing w:val="14"/>
          <w:sz w:val="19"/>
          <w:szCs w:val="19"/>
        </w:rPr>
        <w:t xml:space="preserve">5  ·  PAY SCHEDULE</w:t>
      </w:r>
    </w:p>
    <w:p>
      <w:pPr>
        <w:spacing w:after="100"/>
      </w:pPr>
      <w:r>
        <w:rPr>
          <w:color w:val="2f3a33"/>
          <w:sz w:val="19"/>
          <w:szCs w:val="19"/>
        </w:rPr>
        <w:t xml:space="preserve">How the Loader is paid. Pick one basis, then set the number.</w:t>
      </w:r>
    </w:p>
    <w:tbl>
      <w:tblPr>
        <w:tblW w:type="dxa" w:w="9360"/>
        <w:tblBorders>
          <w:top w:val="single" w:color="1a5c38" w:sz="10"/>
          <w:left w:val="single" w:color="1a5c38" w:sz="10"/>
          <w:bottom w:val="single" w:color="1a5c38" w:sz="10"/>
          <w:right w:val="single" w:color="1a5c38" w:sz="10"/>
          <w:insideH w:val="none"/>
          <w:insideV w:val="none"/>
        </w:tblBorders>
      </w:tblPr>
      <w:tblGrid>
        <w:gridCol w:w="9360"/>
      </w:tblGrid>
      <w:tr>
        <w:tc>
          <w:tcPr>
            <w:tcW w:type="dxa" w:w="9360"/>
            <w:tcBorders>
              <w:top w:val="none"/>
              <w:left w:val="none"/>
              <w:bottom w:val="single" w:color="cfe4d6" w:sz="4" w:space="3"/>
              <w:right w:val="none"/>
            </w:tcBorders>
            <w:shd w:fill="f4f8f5" w:val="clear"/>
            <w:tcMar>
              <w:top w:type="dxa" w:w="70"/>
              <w:left w:type="dxa" w:w="150"/>
              <w:bottom w:type="dxa" w:w="70"/>
              <w:right w:type="dxa" w:w="120"/>
            </w:tcMar>
          </w:tcPr>
          <w:p>
            <w:r>
              <w:rPr>
                <w:b/>
                <w:bCs/>
                <w:color w:val="1a5c38"/>
                <w:sz w:val="20"/>
                <w:szCs w:val="20"/>
              </w:rPr>
              <w:t xml:space="preserve">LOADER PAY SCHEDULE</w:t>
            </w:r>
          </w:p>
        </w:tc>
      </w:tr>
      <w:tr>
        <w:tc>
          <w:tcPr>
            <w:tcW w:type="dxa" w:w="9360"/>
            <w:tcBorders>
              <w:top w:val="none"/>
              <w:left w:val="none"/>
              <w:bottom w:val="none"/>
              <w:right w:val="none"/>
            </w:tcBorders>
            <w:tcMar>
              <w:top w:type="dxa" w:w="80"/>
              <w:left w:type="dxa" w:w="150"/>
              <w:bottom w:type="dxa" w:w="80"/>
              <w:right w:type="dxa" w:w="120"/>
            </w:tcMar>
          </w:tcPr>
          <w:p>
            <w:pPr>
              <w:spacing w:after="40" w:line="264"/>
            </w:pPr>
            <w:r>
              <w:rPr>
                <w:b/>
                <w:bCs/>
                <w:color w:val="111a14"/>
                <w:sz w:val="19"/>
                <w:szCs w:val="19"/>
              </w:rPr>
              <w:t xml:space="preserve">Compensation basis:   </w:t>
            </w:r>
            <w:r>
              <w:rPr>
                <w:rFonts w:ascii="Segoe UI Symbol" w:cs="Segoe UI Symbol" w:eastAsia="Segoe UI Symbol" w:hAnsi="Segoe UI Symbol"/>
                <w:color w:val="111a14"/>
                <w:sz w:val="22"/>
                <w:szCs w:val="22"/>
              </w:rPr>
              <w:t xml:space="preserve">☐</w:t>
            </w:r>
            <w:r>
              <w:rPr>
                <w:color w:val="111a14"/>
                <w:sz w:val="19"/>
                <w:szCs w:val="19"/>
              </w:rPr>
              <w:t xml:space="preserve"> ___% of net surcharge    </w:t>
            </w:r>
            <w:r>
              <w:rPr>
                <w:rFonts w:ascii="Segoe UI Symbol" w:cs="Segoe UI Symbol" w:eastAsia="Segoe UI Symbol" w:hAnsi="Segoe UI Symbol"/>
                <w:color w:val="111a14"/>
                <w:sz w:val="22"/>
                <w:szCs w:val="22"/>
              </w:rPr>
              <w:t xml:space="preserve">☐</w:t>
            </w:r>
            <w:r>
              <w:rPr>
                <w:color w:val="111a14"/>
                <w:sz w:val="19"/>
                <w:szCs w:val="19"/>
              </w:rPr>
              <w:t xml:space="preserve"> $___ fixed fee per fill    </w:t>
            </w:r>
          </w:p>
        </w:tc>
      </w:tr>
      <w:tr>
        <w:tc>
          <w:tcPr>
            <w:tcW w:type="dxa" w:w="9360"/>
            <w:tcBorders>
              <w:top w:val="none"/>
              <w:left w:val="none"/>
              <w:bottom w:val="none"/>
              <w:right w:val="none"/>
            </w:tcBorders>
            <w:tcMar>
              <w:top w:type="dxa" w:w="80"/>
              <w:left w:type="dxa" w:w="150"/>
              <w:bottom w:type="dxa" w:w="80"/>
              <w:right w:type="dxa" w:w="120"/>
            </w:tcMar>
          </w:tcPr>
          <w:p>
            <w:pPr>
              <w:spacing w:after="40" w:line="264"/>
            </w:pPr>
            <w:r>
              <w:rPr>
                <w:b/>
                <w:bCs/>
                <w:color w:val="111a14"/>
                <w:sz w:val="19"/>
                <w:szCs w:val="19"/>
              </w:rPr>
              <w:t xml:space="preserve">Rate   </w:t>
            </w:r>
            <w:r>
              <w:rPr>
                <w:color w:val="111a14"/>
                <w:sz w:val="19"/>
                <w:szCs w:val="19"/>
              </w:rPr>
              <w:t xml:space="preserve">percent </w:t>
            </w:r>
            <w:r>
              <w:rPr>
                <w:color w:val="7a837c"/>
                <w:sz w:val="21"/>
                <w:szCs w:val="21"/>
              </w:rPr>
              <w:t xml:space="preserve">____</w:t>
            </w:r>
            <w:r>
              <w:rPr>
                <w:color w:val="111a14"/>
                <w:sz w:val="19"/>
                <w:szCs w:val="19"/>
              </w:rPr>
              <w:t xml:space="preserve"> %      or      fixed  $ </w:t>
            </w:r>
            <w:r>
              <w:rPr>
                <w:color w:val="7a837c"/>
                <w:sz w:val="21"/>
                <w:szCs w:val="21"/>
              </w:rPr>
              <w:t xml:space="preserve">______</w:t>
            </w:r>
            <w:r>
              <w:rPr>
                <w:color w:val="111a14"/>
                <w:sz w:val="19"/>
                <w:szCs w:val="19"/>
              </w:rPr>
              <w:t xml:space="preserve">  per fill</w:t>
            </w:r>
          </w:p>
        </w:tc>
      </w:tr>
      <w:tr>
        <w:tc>
          <w:tcPr>
            <w:tcW w:type="dxa" w:w="9360"/>
            <w:tcBorders>
              <w:top w:val="none"/>
              <w:left w:val="none"/>
              <w:bottom w:val="none"/>
              <w:right w:val="none"/>
            </w:tcBorders>
            <w:tcMar>
              <w:top w:type="dxa" w:w="80"/>
              <w:left w:type="dxa" w:w="150"/>
              <w:bottom w:type="dxa" w:w="80"/>
              <w:right w:type="dxa" w:w="120"/>
            </w:tcMar>
          </w:tcPr>
          <w:p>
            <w:pPr>
              <w:spacing w:after="40" w:line="264"/>
            </w:pPr>
            <w:r>
              <w:rPr>
                <w:b/>
                <w:bCs/>
                <w:color w:val="111a14"/>
                <w:sz w:val="19"/>
                <w:szCs w:val="19"/>
              </w:rPr>
              <w:t xml:space="preserve">Paid by:   </w:t>
            </w:r>
            <w:r>
              <w:rPr>
                <w:rFonts w:ascii="Segoe UI Symbol" w:cs="Segoe UI Symbol" w:eastAsia="Segoe UI Symbol" w:hAnsi="Segoe UI Symbol"/>
                <w:color w:val="1a5c38"/>
                <w:sz w:val="22"/>
                <w:szCs w:val="22"/>
              </w:rPr>
              <w:t xml:space="preserve">☒</w:t>
            </w:r>
            <w:r>
              <w:rPr>
                <w:color w:val="111a14"/>
                <w:sz w:val="19"/>
                <w:szCs w:val="19"/>
              </w:rPr>
              <w:t xml:space="preserve"> ACH    </w:t>
            </w:r>
            <w:r>
              <w:rPr>
                <w:rFonts w:ascii="Segoe UI Symbol" w:cs="Segoe UI Symbol" w:eastAsia="Segoe UI Symbol" w:hAnsi="Segoe UI Symbol"/>
                <w:color w:val="111a14"/>
                <w:sz w:val="22"/>
                <w:szCs w:val="22"/>
              </w:rPr>
              <w:t xml:space="preserve">☐</w:t>
            </w:r>
            <w:r>
              <w:rPr>
                <w:color w:val="111a14"/>
                <w:sz w:val="19"/>
                <w:szCs w:val="19"/>
              </w:rPr>
              <w:t xml:space="preserve"> Check    </w:t>
            </w:r>
            <w:r>
              <w:rPr>
                <w:rFonts w:ascii="Segoe UI Symbol" w:cs="Segoe UI Symbol" w:eastAsia="Segoe UI Symbol" w:hAnsi="Segoe UI Symbol"/>
                <w:color w:val="111a14"/>
                <w:sz w:val="22"/>
                <w:szCs w:val="22"/>
              </w:rPr>
              <w:t xml:space="preserve">☐</w:t>
            </w:r>
            <w:r>
              <w:rPr>
                <w:color w:val="111a14"/>
                <w:sz w:val="19"/>
                <w:szCs w:val="19"/>
              </w:rPr>
              <w:t xml:space="preserve"> Cash    </w:t>
            </w:r>
          </w:p>
        </w:tc>
      </w:tr>
      <w:tr>
        <w:tc>
          <w:tcPr>
            <w:tcW w:type="dxa" w:w="9360"/>
            <w:tcBorders>
              <w:top w:val="none"/>
              <w:left w:val="none"/>
              <w:bottom w:val="none"/>
              <w:right w:val="none"/>
            </w:tcBorders>
            <w:tcMar>
              <w:top w:type="dxa" w:w="80"/>
              <w:left w:type="dxa" w:w="150"/>
              <w:bottom w:type="dxa" w:w="80"/>
              <w:right w:type="dxa" w:w="120"/>
            </w:tcMar>
          </w:tcPr>
          <w:p>
            <w:pPr>
              <w:spacing w:after="40" w:line="264"/>
            </w:pPr>
            <w:r>
              <w:rPr>
                <w:b/>
                <w:bCs/>
                <w:color w:val="111a14"/>
                <w:sz w:val="19"/>
                <w:szCs w:val="19"/>
              </w:rPr>
              <w:t xml:space="preserve">Cash to load is supplied by:   </w:t>
            </w:r>
            <w:r>
              <w:rPr>
                <w:rFonts w:ascii="Segoe UI Symbol" w:cs="Segoe UI Symbol" w:eastAsia="Segoe UI Symbol" w:hAnsi="Segoe UI Symbol"/>
                <w:color w:val="1a5c38"/>
                <w:sz w:val="22"/>
                <w:szCs w:val="22"/>
              </w:rPr>
              <w:t xml:space="preserve">☒</w:t>
            </w:r>
            <w:r>
              <w:rPr>
                <w:color w:val="111a14"/>
                <w:sz w:val="19"/>
                <w:szCs w:val="19"/>
              </w:rPr>
              <w:t xml:space="preserve"> Operator    </w:t>
            </w:r>
            <w:r>
              <w:rPr>
                <w:color w:val="111a14"/>
                <w:sz w:val="19"/>
                <w:szCs w:val="19"/>
              </w:rPr>
              <w:t xml:space="preserve">   (Loader draws from the Operator’s float and never uses personal funds)</w:t>
            </w:r>
          </w:p>
        </w:tc>
      </w:tr>
    </w:tbl>
    <w:p>
      <w:pPr>
        <w:pBdr>
          <w:top w:val="single" w:color="cfe4d6" w:sz="4" w:space="6"/>
          <w:bottom w:val="single" w:color="cfe4d6" w:sz="4" w:space="6"/>
          <w:left w:val="single" w:color="1a5c38" w:sz="22" w:space="8"/>
          <w:right w:val="single" w:color="cfe4d6" w:sz="4" w:space="6"/>
        </w:pBdr>
        <w:shd w:fill="eef5f0" w:val="clear"/>
        <w:spacing w:after="150" w:before="80"/>
      </w:pPr>
      <w:r>
        <w:rPr>
          <w:b/>
          <w:bCs/>
          <w:color w:val="1a5c38"/>
          <w:sz w:val="16"/>
          <w:szCs w:val="16"/>
        </w:rPr>
        <w:t xml:space="preserve">OPERATOR TIP   </w:t>
      </w:r>
      <w:r>
        <w:rPr>
          <w:color w:val="2f3a33"/>
          <w:sz w:val="19"/>
          <w:szCs w:val="19"/>
        </w:rPr>
        <w:t xml:space="preserve">On a solid site doing 200 to 400 transactions a month, about a third of the surcharge is a fair loader cut. On slower sites pay a fixed fee per fill instead, so you are not handing away a share of a machine that barely earns. Never pay a percentage on a site you have not measured.</w:t>
      </w:r>
    </w:p>
    <w:p>
      <w:pPr>
        <w:keepNext/>
        <w:pBdr>
          <w:bottom w:val="single" w:color="1a5c38" w:sz="8" w:space="3"/>
        </w:pBdr>
        <w:spacing w:after="90" w:before="230"/>
      </w:pPr>
      <w:r>
        <w:rPr>
          <w:b/>
          <w:bCs/>
          <w:color w:val="1a5c38"/>
          <w:spacing w:val="14"/>
          <w:sz w:val="19"/>
          <w:szCs w:val="19"/>
        </w:rPr>
        <w:t xml:space="preserve">6  ·  WHAT EACH PARTY PROVIDES</w:t>
      </w:r>
    </w:p>
    <w:tbl>
      <w:tblPr>
        <w:tblW w:type="dxa" w:w="9360"/>
        <w:tblBorders>
          <w:top w:val="single" w:color="1a5c38" w:sz="10"/>
          <w:left w:val="single" w:color="1a5c38" w:sz="10"/>
          <w:bottom w:val="single" w:color="1a5c38" w:sz="10"/>
          <w:right w:val="single" w:color="1a5c38" w:sz="10"/>
          <w:insideH w:val="none"/>
          <w:insideV w:val="single" w:color="1a5c38" w:sz="8"/>
        </w:tblBorders>
      </w:tblPr>
      <w:tblGrid>
        <w:gridCol w:w="4680"/>
        <w:gridCol w:w="4680"/>
      </w:tblGrid>
      <w:tr>
        <w:trPr>
          <w:tblHeader/>
        </w:trPr>
        <w:tc>
          <w:tcPr>
            <w:tcW w:type="dxa" w:w="4680"/>
            <w:tcBorders>
              <w:top w:val="none"/>
              <w:left w:val="none"/>
              <w:bottom w:val="none"/>
              <w:right w:val="none"/>
            </w:tcBorders>
            <w:shd w:fill="1a5c38" w:val="clear"/>
            <w:tcMar>
              <w:top w:type="dxa" w:w="80"/>
              <w:left w:type="dxa" w:w="160"/>
              <w:bottom w:type="dxa" w:w="80"/>
              <w:right w:type="dxa" w:w="140"/>
            </w:tcMar>
          </w:tcPr>
          <w:p>
            <w:r>
              <w:rPr>
                <w:b/>
                <w:bCs/>
                <w:color w:val="FFFFFF"/>
                <w:sz w:val="19"/>
                <w:szCs w:val="19"/>
              </w:rPr>
              <w:t xml:space="preserve">OPERATOR PROVIDES</w:t>
            </w:r>
          </w:p>
        </w:tc>
        <w:tc>
          <w:tcPr>
            <w:tcW w:type="dxa" w:w="4680"/>
            <w:tcBorders>
              <w:top w:val="none"/>
              <w:left w:val="none"/>
              <w:bottom w:val="none"/>
              <w:right w:val="none"/>
            </w:tcBorders>
            <w:shd w:fill="1a5c38" w:val="clear"/>
            <w:tcMar>
              <w:top w:type="dxa" w:w="80"/>
              <w:left w:type="dxa" w:w="160"/>
              <w:bottom w:type="dxa" w:w="80"/>
              <w:right w:type="dxa" w:w="140"/>
            </w:tcMar>
          </w:tcPr>
          <w:p>
            <w:r>
              <w:rPr>
                <w:b/>
                <w:bCs/>
                <w:color w:val="FFFFFF"/>
                <w:sz w:val="19"/>
                <w:szCs w:val="19"/>
              </w:rPr>
              <w:t xml:space="preserve">LOADER PROVIDES</w:t>
            </w:r>
          </w:p>
        </w:tc>
      </w:tr>
      <w:tr>
        <w:tc>
          <w:tcPr>
            <w:tcW w:type="dxa" w:w="4680"/>
            <w:tcBorders>
              <w:top w:val="none"/>
              <w:left w:val="none"/>
              <w:bottom w:val="none"/>
              <w:right w:val="none"/>
            </w:tcBorders>
            <w:tcMar>
              <w:top w:type="dxa" w:w="120"/>
              <w:left w:type="dxa" w:w="160"/>
              <w:bottom w:type="dxa" w:w="120"/>
              <w:right w:type="dxa" w:w="150"/>
            </w:tcMar>
          </w:tcPr>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All vault cash (the float) and the risk on it</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The load schedule and target balances</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Machine keys, codes, and access credentials</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Reconciliation data (counters / electronic journal)</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The agreed pay, on time</w:t>
            </w:r>
          </w:p>
        </w:tc>
        <w:tc>
          <w:tcPr>
            <w:tcW w:type="dxa" w:w="4680"/>
            <w:tcBorders>
              <w:top w:val="none"/>
              <w:left w:val="none"/>
              <w:bottom w:val="none"/>
              <w:right w:val="none"/>
            </w:tcBorders>
            <w:tcMar>
              <w:top w:type="dxa" w:w="120"/>
              <w:left w:type="dxa" w:w="160"/>
              <w:bottom w:type="dxa" w:w="120"/>
              <w:right w:type="dxa" w:w="150"/>
            </w:tcMar>
          </w:tcPr>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Timely fills to the target balance</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An exact count and denominations each fill</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Secure handling of cash and keys</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A written report after every fill</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Immediate notice of any shortage or fault</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Own transport, fuel, and time</w:t>
            </w:r>
          </w:p>
        </w:tc>
      </w:tr>
    </w:tbl>
    <w:p>
      <w:pPr>
        <w:keepNext/>
        <w:pBdr>
          <w:bottom w:val="single" w:color="1a5c38" w:sz="8" w:space="3"/>
        </w:pBdr>
        <w:spacing w:after="90" w:before="230"/>
      </w:pPr>
      <w:r>
        <w:rPr>
          <w:b/>
          <w:bCs/>
          <w:color w:val="1a5c38"/>
          <w:spacing w:val="14"/>
          <w:sz w:val="19"/>
          <w:szCs w:val="19"/>
        </w:rPr>
        <w:t xml:space="preserve">7  ·  THE TERMS</w:t>
      </w:r>
    </w:p>
    <w:p>
      <w:pPr>
        <w:keepNext/>
        <w:spacing w:after="64" w:before="190"/>
      </w:pPr>
      <w:r>
        <w:rPr>
          <w:b/>
          <w:bCs/>
          <w:color w:val="1a5c38"/>
          <w:sz w:val="22"/>
          <w:szCs w:val="22"/>
        </w:rPr>
        <w:t xml:space="preserve">1.  </w:t>
      </w:r>
      <w:r>
        <w:rPr>
          <w:b/>
          <w:bCs/>
          <w:color w:val="111a14"/>
          <w:sz w:val="22"/>
          <w:szCs w:val="22"/>
        </w:rPr>
        <w:t xml:space="preserve">Scope</w:t>
      </w:r>
    </w:p>
    <w:p>
      <w:pPr>
        <w:spacing w:after="120" w:line="276"/>
        <w:jc w:val="both"/>
      </w:pPr>
      <w:r>
        <w:rPr>
          <w:sz w:val="21"/>
          <w:szCs w:val="21"/>
        </w:rPr>
        <w:t xml:space="preserve">Loader shall stock the Assigned Machines with cash supplied by Operator, on the schedule and to the balances Operator sets, and shall keep each machine funded to at least the minimum balance stated in the Deal Terms.</w:t>
      </w:r>
    </w:p>
    <w:p>
      <w:pPr>
        <w:keepNext/>
        <w:spacing w:after="64" w:before="190"/>
      </w:pPr>
      <w:r>
        <w:rPr>
          <w:b/>
          <w:bCs/>
          <w:color w:val="1a5c38"/>
          <w:sz w:val="22"/>
          <w:szCs w:val="22"/>
        </w:rPr>
        <w:t xml:space="preserve">2.  </w:t>
      </w:r>
      <w:r>
        <w:rPr>
          <w:b/>
          <w:bCs/>
          <w:color w:val="111a14"/>
          <w:sz w:val="22"/>
          <w:szCs w:val="22"/>
        </w:rPr>
        <w:t xml:space="preserve">Cash Accountability</w:t>
      </w:r>
    </w:p>
    <w:p>
      <w:pPr>
        <w:spacing w:after="120" w:line="276"/>
        <w:jc w:val="both"/>
      </w:pPr>
      <w:r>
        <w:rPr>
          <w:sz w:val="21"/>
          <w:szCs w:val="21"/>
        </w:rPr>
        <w:t xml:space="preserve">All cash handled under this Agreement remains Operator’s property at all times. Loader shall record the exact amount and denominations loaded at every fill and reconcile them against the machine’s counters and electronic journal. Loader is responsible for any shortage that arises from Loader’s handling, miscount, error, or misconduct.</w:t>
      </w:r>
    </w:p>
    <w:p>
      <w:pPr>
        <w:keepNext/>
        <w:spacing w:after="64" w:before="190"/>
      </w:pPr>
      <w:r>
        <w:rPr>
          <w:b/>
          <w:bCs/>
          <w:color w:val="1a5c38"/>
          <w:sz w:val="22"/>
          <w:szCs w:val="22"/>
        </w:rPr>
        <w:t xml:space="preserve">3.  </w:t>
      </w:r>
      <w:r>
        <w:rPr>
          <w:b/>
          <w:bCs/>
          <w:color w:val="111a14"/>
          <w:sz w:val="22"/>
          <w:szCs w:val="22"/>
        </w:rPr>
        <w:t xml:space="preserve">Cash Handling and the Float</w:t>
      </w:r>
    </w:p>
    <w:p>
      <w:pPr>
        <w:spacing w:after="120" w:line="276"/>
        <w:jc w:val="both"/>
      </w:pPr>
      <w:r>
        <w:rPr>
          <w:sz w:val="21"/>
          <w:szCs w:val="21"/>
        </w:rPr>
        <w:t xml:space="preserve">Loader draws cash only from the float or account Operator designates, keeps Operator’s cash physically separate from Loader’s own money, does not commingle or borrow against it for any reason, and returns any unused cash to Operator on demand.</w:t>
      </w:r>
    </w:p>
    <w:p>
      <w:pPr>
        <w:keepNext/>
        <w:spacing w:after="64" w:before="190"/>
      </w:pPr>
      <w:r>
        <w:rPr>
          <w:b/>
          <w:bCs/>
          <w:color w:val="1a5c38"/>
          <w:sz w:val="22"/>
          <w:szCs w:val="22"/>
        </w:rPr>
        <w:t xml:space="preserve">4.  </w:t>
      </w:r>
      <w:r>
        <w:rPr>
          <w:b/>
          <w:bCs/>
          <w:color w:val="111a14"/>
          <w:sz w:val="22"/>
          <w:szCs w:val="22"/>
        </w:rPr>
        <w:t xml:space="preserve">Fill Schedule and Response</w:t>
      </w:r>
    </w:p>
    <w:p>
      <w:pPr>
        <w:spacing w:after="120" w:line="276"/>
        <w:jc w:val="both"/>
      </w:pPr>
      <w:r>
        <w:rPr>
          <w:sz w:val="21"/>
          <w:szCs w:val="21"/>
        </w:rPr>
        <w:t xml:space="preserve">Loader shall respond to a low-cash alert within the response time stated in the Deal Terms and shall keep each machine at or above its minimum balance during its site’s busy periods.</w:t>
      </w:r>
    </w:p>
    <w:p>
      <w:pPr>
        <w:keepNext/>
        <w:spacing w:after="64" w:before="190"/>
      </w:pPr>
      <w:r>
        <w:rPr>
          <w:b/>
          <w:bCs/>
          <w:color w:val="1a5c38"/>
          <w:sz w:val="22"/>
          <w:szCs w:val="22"/>
        </w:rPr>
        <w:t xml:space="preserve">5.  </w:t>
      </w:r>
      <w:r>
        <w:rPr>
          <w:b/>
          <w:bCs/>
          <w:color w:val="111a14"/>
          <w:sz w:val="22"/>
          <w:szCs w:val="22"/>
        </w:rPr>
        <w:t xml:space="preserve">Keys, Codes, and Access</w:t>
      </w:r>
    </w:p>
    <w:p>
      <w:pPr>
        <w:spacing w:after="120" w:line="276"/>
        <w:jc w:val="both"/>
      </w:pPr>
      <w:r>
        <w:rPr>
          <w:sz w:val="21"/>
          <w:szCs w:val="21"/>
        </w:rPr>
        <w:t xml:space="preserve">Operator entrusts Loader with the vault keys, combinations, and access codes for the Assigned Machines. Loader shall keep them secure, shall not duplicate, photograph, or share them, and shall return everything immediately when this Agreement ends or a machine is reassigned. Loader shall change a combination promptly whenever Operator directs.</w:t>
      </w:r>
    </w:p>
    <w:p>
      <w:pPr>
        <w:keepNext/>
        <w:spacing w:after="64" w:before="190"/>
      </w:pPr>
      <w:r>
        <w:rPr>
          <w:b/>
          <w:bCs/>
          <w:color w:val="1a5c38"/>
          <w:sz w:val="22"/>
          <w:szCs w:val="22"/>
        </w:rPr>
        <w:t xml:space="preserve">6.  </w:t>
      </w:r>
      <w:r>
        <w:rPr>
          <w:b/>
          <w:bCs/>
          <w:color w:val="111a14"/>
          <w:sz w:val="22"/>
          <w:szCs w:val="22"/>
        </w:rPr>
        <w:t xml:space="preserve">Reporting</w:t>
      </w:r>
    </w:p>
    <w:p>
      <w:pPr>
        <w:spacing w:after="120" w:line="276"/>
        <w:jc w:val="both"/>
      </w:pPr>
      <w:r>
        <w:rPr>
          <w:sz w:val="21"/>
          <w:szCs w:val="21"/>
        </w:rPr>
        <w:t xml:space="preserve">After every fill, Loader shall send Operator: the date, the machine or terminal ID, the amount and denominations loaded, the contents of the reject bin, the reconciliation against the counters, and any fault observed.</w:t>
      </w:r>
    </w:p>
    <w:p>
      <w:pPr>
        <w:keepNext/>
        <w:spacing w:after="64" w:before="190"/>
      </w:pPr>
      <w:r>
        <w:rPr>
          <w:b/>
          <w:bCs/>
          <w:color w:val="1a5c38"/>
          <w:sz w:val="22"/>
          <w:szCs w:val="22"/>
        </w:rPr>
        <w:t xml:space="preserve">7.  </w:t>
      </w:r>
      <w:r>
        <w:rPr>
          <w:b/>
          <w:bCs/>
          <w:color w:val="111a14"/>
          <w:sz w:val="22"/>
          <w:szCs w:val="22"/>
        </w:rPr>
        <w:t xml:space="preserve">Compensation</w:t>
      </w:r>
    </w:p>
    <w:p>
      <w:pPr>
        <w:spacing w:after="120" w:line="276"/>
        <w:jc w:val="both"/>
      </w:pPr>
      <w:r>
        <w:rPr>
          <w:sz w:val="21"/>
          <w:szCs w:val="21"/>
        </w:rPr>
        <w:t xml:space="preserve">Operator shall pay Loader as set in the Pay Schedule, either a percentage of the net surcharge or a fixed fee per fill, by the day of the month stated in the Deal Terms. Operator may offset any confirmed shortage attributable to Loader against amounts owed.</w:t>
      </w:r>
    </w:p>
    <w:p>
      <w:pPr>
        <w:keepNext/>
        <w:spacing w:after="64" w:before="190"/>
      </w:pPr>
      <w:r>
        <w:rPr>
          <w:b/>
          <w:bCs/>
          <w:color w:val="1a5c38"/>
          <w:sz w:val="22"/>
          <w:szCs w:val="22"/>
        </w:rPr>
        <w:t xml:space="preserve">8.  </w:t>
      </w:r>
      <w:r>
        <w:rPr>
          <w:b/>
          <w:bCs/>
          <w:color w:val="111a14"/>
          <w:sz w:val="22"/>
          <w:szCs w:val="22"/>
        </w:rPr>
        <w:t xml:space="preserve">Security Standards</w:t>
      </w:r>
    </w:p>
    <w:p>
      <w:pPr>
        <w:spacing w:after="120" w:line="276"/>
        <w:jc w:val="both"/>
      </w:pPr>
      <w:r>
        <w:rPr>
          <w:sz w:val="21"/>
          <w:szCs w:val="21"/>
        </w:rPr>
        <w:t xml:space="preserve">Loader shall follow safe cash-handling practices, vary the timing and route of visits where practical, and shall not service a machine while being followed or when the site is unsafe. Loader shall carry only the cash needed and shall not advertise the route or the cash amounts to anyone.</w:t>
      </w:r>
    </w:p>
    <w:p>
      <w:pPr>
        <w:keepNext/>
        <w:spacing w:after="64" w:before="190"/>
      </w:pPr>
      <w:r>
        <w:rPr>
          <w:b/>
          <w:bCs/>
          <w:color w:val="1a5c38"/>
          <w:sz w:val="22"/>
          <w:szCs w:val="22"/>
        </w:rPr>
        <w:t xml:space="preserve">9.  </w:t>
      </w:r>
      <w:r>
        <w:rPr>
          <w:b/>
          <w:bCs/>
          <w:color w:val="111a14"/>
          <w:sz w:val="22"/>
          <w:szCs w:val="22"/>
        </w:rPr>
        <w:t xml:space="preserve">Liability, Bond, and Shortages</w:t>
      </w:r>
    </w:p>
    <w:p>
      <w:pPr>
        <w:spacing w:after="120" w:line="276"/>
        <w:jc w:val="both"/>
      </w:pPr>
      <w:r>
        <w:rPr>
          <w:sz w:val="21"/>
          <w:szCs w:val="21"/>
        </w:rPr>
        <w:t xml:space="preserve">Loader is liable for losses caused by Loader’s negligence, dishonesty, or breach of this Agreement, up to the bond or shortage cap stated in the Deal Terms if one is set, and without limit for theft or fraud. Operator may recover a confirmed shortage by deduction from Loader’s pay or by other lawful means.</w:t>
      </w:r>
    </w:p>
    <w:p>
      <w:pPr>
        <w:keepNext/>
        <w:spacing w:after="64" w:before="190"/>
      </w:pPr>
      <w:r>
        <w:rPr>
          <w:b/>
          <w:bCs/>
          <w:color w:val="1a5c38"/>
          <w:sz w:val="22"/>
          <w:szCs w:val="22"/>
        </w:rPr>
        <w:t xml:space="preserve">10.  </w:t>
      </w:r>
      <w:r>
        <w:rPr>
          <w:b/>
          <w:bCs/>
          <w:color w:val="111a14"/>
          <w:sz w:val="22"/>
          <w:szCs w:val="22"/>
        </w:rPr>
        <w:t xml:space="preserve">Independent Contractor</w:t>
      </w:r>
    </w:p>
    <w:p>
      <w:pPr>
        <w:spacing w:after="120" w:line="276"/>
        <w:jc w:val="both"/>
      </w:pPr>
      <w:r>
        <w:rPr>
          <w:sz w:val="21"/>
          <w:szCs w:val="21"/>
        </w:rPr>
        <w:t xml:space="preserve">Loader is an independent contractor, not an employee, is responsible for their own taxes, insurance, and transport, and has no authority to bind Operator or to represent Operator to any location or third party.</w:t>
      </w:r>
    </w:p>
    <w:p>
      <w:pPr>
        <w:keepNext/>
        <w:spacing w:after="64" w:before="190"/>
      </w:pPr>
      <w:r>
        <w:rPr>
          <w:b/>
          <w:bCs/>
          <w:color w:val="1a5c38"/>
          <w:sz w:val="22"/>
          <w:szCs w:val="22"/>
        </w:rPr>
        <w:t xml:space="preserve">11.  </w:t>
      </w:r>
      <w:r>
        <w:rPr>
          <w:b/>
          <w:bCs/>
          <w:color w:val="111a14"/>
          <w:sz w:val="22"/>
          <w:szCs w:val="22"/>
        </w:rPr>
        <w:t xml:space="preserve">Confidentiality and Non-Use</w:t>
      </w:r>
    </w:p>
    <w:p>
      <w:pPr>
        <w:spacing w:after="120" w:line="276"/>
        <w:jc w:val="both"/>
      </w:pPr>
      <w:r>
        <w:rPr>
          <w:sz w:val="21"/>
          <w:szCs w:val="21"/>
        </w:rPr>
        <w:t xml:space="preserve">Machine locations, terminal IDs, cash amounts, schedules, float details, and access credentials are Operator’s confidential information. Loader shall not disclose or use them outside this Agreement, during the term or after it ends.</w:t>
      </w:r>
    </w:p>
    <w:p>
      <w:pPr>
        <w:keepNext/>
        <w:spacing w:after="64" w:before="190"/>
      </w:pPr>
      <w:r>
        <w:rPr>
          <w:b/>
          <w:bCs/>
          <w:color w:val="1a5c38"/>
          <w:sz w:val="22"/>
          <w:szCs w:val="22"/>
        </w:rPr>
        <w:t xml:space="preserve">12.  </w:t>
      </w:r>
      <w:r>
        <w:rPr>
          <w:b/>
          <w:bCs/>
          <w:color w:val="111a14"/>
          <w:sz w:val="22"/>
          <w:szCs w:val="22"/>
        </w:rPr>
        <w:t xml:space="preserve">Term and Termination</w:t>
      </w:r>
    </w:p>
    <w:p>
      <w:pPr>
        <w:spacing w:after="120" w:line="276"/>
        <w:jc w:val="both"/>
      </w:pPr>
      <w:r>
        <w:rPr>
          <w:sz w:val="21"/>
          <w:szCs w:val="21"/>
        </w:rPr>
        <w:t xml:space="preserve">This Agreement runs until ended by either party on the notice stated in the Deal Terms. Operator may terminate immediately for any mishandling of cash or keys. On termination, Loader shall return all cash, keys, codes, and credentials at once, and shall deliver a final reconciliation within five (5) business days.</w:t>
      </w:r>
    </w:p>
    <w:p>
      <w:pPr>
        <w:keepNext/>
        <w:spacing w:after="64" w:before="190"/>
      </w:pPr>
      <w:r>
        <w:rPr>
          <w:b/>
          <w:bCs/>
          <w:color w:val="1a5c38"/>
          <w:sz w:val="22"/>
          <w:szCs w:val="22"/>
        </w:rPr>
        <w:t xml:space="preserve">13.  </w:t>
      </w:r>
      <w:r>
        <w:rPr>
          <w:b/>
          <w:bCs/>
          <w:color w:val="111a14"/>
          <w:sz w:val="22"/>
          <w:szCs w:val="22"/>
        </w:rPr>
        <w:t xml:space="preserve">Governing Law, Entire Agreement, and Fees</w:t>
      </w:r>
    </w:p>
    <w:p>
      <w:pPr>
        <w:spacing w:after="120" w:line="276"/>
        <w:jc w:val="both"/>
      </w:pPr>
      <w:r>
        <w:rPr>
          <w:sz w:val="21"/>
          <w:szCs w:val="21"/>
        </w:rPr>
        <w:t xml:space="preserve">This Agreement is governed by the law of the state stated in the Deal Terms, with venue in the county stated there, and represents the parties’ entire understanding, amendable only in a writing signed by both. If any provision is held invalid, the rest remain in effect. The prevailing party in any dispute recovers its costs and reasonable attorney’s fees.</w:t>
      </w:r>
    </w:p>
    <w:p>
      <w:pPr>
        <w:keepNext/>
        <w:pBdr>
          <w:bottom w:val="single" w:color="1a5c38" w:sz="8" w:space="3"/>
        </w:pBdr>
        <w:spacing w:after="90" w:before="230"/>
      </w:pPr>
      <w:r>
        <w:rPr>
          <w:b/>
          <w:bCs/>
          <w:color w:val="1a5c38"/>
          <w:spacing w:val="14"/>
          <w:sz w:val="19"/>
          <w:szCs w:val="19"/>
        </w:rPr>
        <w:t xml:space="preserve">8  ·  SIGNATURES</w:t>
      </w:r>
    </w:p>
    <w:p>
      <w:pPr>
        <w:spacing w:after="120" w:line="276"/>
        <w:jc w:val="both"/>
      </w:pPr>
      <w:r>
        <w:rPr>
          <w:sz w:val="21"/>
          <w:szCs w:val="21"/>
        </w:rPr>
        <w:t xml:space="preserve">IN WITNESS WHEREOF, the parties have executed this Agreement. Each signer represents they are authorized to do so; print name and title.</w:t>
      </w:r>
    </w:p>
    <w:tbl>
      <w:tblPr>
        <w:tblW w:type="dxa" w:w="9360"/>
        <w:tblBorders>
          <w:top w:val="none"/>
          <w:left w:val="none"/>
          <w:bottom w:val="none"/>
          <w:right w:val="none"/>
          <w:insideH w:val="none"/>
          <w:insideV w:val="none"/>
        </w:tblBorders>
      </w:tblPr>
      <w:tblGrid>
        <w:gridCol w:w="4680"/>
        <w:gridCol w:w="4680"/>
      </w:tblGrid>
      <w:tr>
        <w:tc>
          <w:tcPr>
            <w:tcW w:type="dxa" w:w="4680"/>
            <w:tcBorders>
              <w:top w:val="none"/>
              <w:left w:val="none"/>
              <w:bottom w:val="none"/>
              <w:right w:val="none"/>
            </w:tcBorders>
            <w:tcMar>
              <w:top w:type="dxa" w:w="60"/>
              <w:right w:type="dxa" w:w="240"/>
            </w:tcMar>
          </w:tcPr>
          <w:p>
            <w:pPr>
              <w:spacing w:after="40"/>
            </w:pPr>
            <w:r>
              <w:rPr>
                <w:b/>
                <w:bCs/>
                <w:color w:val="1a5c38"/>
                <w:sz w:val="19"/>
                <w:szCs w:val="19"/>
              </w:rPr>
              <w:t xml:space="preserve">OPERATOR</w:t>
            </w:r>
          </w:p>
          <w:p>
            <w:pPr>
              <w:pBdr>
                <w:bottom w:val="single" w:color="888888" w:sz="6" w:space="2"/>
              </w:pBdr>
              <w:spacing w:after="26" w:before="300"/>
            </w:pPr>
            <w:r>
              <w:rPr>
                <w:sz w:val="21"/>
                <w:szCs w:val="21"/>
              </w:rPr>
              <w:t xml:space="preserve"/>
            </w:r>
          </w:p>
          <w:p>
            <w:pPr>
              <w:spacing w:after="14"/>
            </w:pPr>
            <w:r>
              <w:rPr>
                <w:color w:val="555555"/>
                <w:sz w:val="16"/>
                <w:szCs w:val="16"/>
              </w:rPr>
              <w:t xml:space="preserve">Signature of authorized individual</w:t>
            </w:r>
          </w:p>
          <w:p>
            <w:pPr>
              <w:pBdr>
                <w:bottom w:val="single" w:color="888888" w:sz="6" w:space="2"/>
              </w:pBdr>
              <w:spacing w:after="26" w:before="380"/>
            </w:pPr>
            <w:r>
              <w:rPr>
                <w:sz w:val="21"/>
                <w:szCs w:val="21"/>
              </w:rPr>
              <w:t xml:space="preserve"/>
            </w:r>
          </w:p>
          <w:p>
            <w:pPr>
              <w:spacing w:after="14"/>
            </w:pPr>
            <w:r>
              <w:rPr>
                <w:color w:val="555555"/>
                <w:sz w:val="16"/>
                <w:szCs w:val="16"/>
              </w:rPr>
              <w:t xml:space="preserve">Print name &amp; title</w:t>
            </w:r>
          </w:p>
          <w:p>
            <w:pPr>
              <w:pBdr>
                <w:bottom w:val="single" w:color="888888" w:sz="6" w:space="2"/>
              </w:pBdr>
              <w:spacing w:after="26" w:before="380"/>
            </w:pPr>
            <w:r>
              <w:rPr>
                <w:sz w:val="21"/>
                <w:szCs w:val="21"/>
              </w:rPr>
              <w:t xml:space="preserve"/>
            </w:r>
          </w:p>
          <w:p>
            <w:pPr>
              <w:spacing w:after="14"/>
            </w:pPr>
            <w:r>
              <w:rPr>
                <w:color w:val="555555"/>
                <w:sz w:val="16"/>
                <w:szCs w:val="16"/>
              </w:rPr>
              <w:t xml:space="preserve">Date</w:t>
            </w:r>
          </w:p>
        </w:tc>
        <w:tc>
          <w:tcPr>
            <w:tcW w:type="dxa" w:w="4680"/>
            <w:tcBorders>
              <w:top w:val="none"/>
              <w:left w:val="none"/>
              <w:bottom w:val="none"/>
              <w:right w:val="none"/>
            </w:tcBorders>
            <w:tcMar>
              <w:top w:type="dxa" w:w="60"/>
              <w:right w:type="dxa" w:w="240"/>
            </w:tcMar>
          </w:tcPr>
          <w:p>
            <w:pPr>
              <w:spacing w:after="40"/>
            </w:pPr>
            <w:r>
              <w:rPr>
                <w:b/>
                <w:bCs/>
                <w:color w:val="1a5c38"/>
                <w:sz w:val="19"/>
                <w:szCs w:val="19"/>
              </w:rPr>
              <w:t xml:space="preserve">LOADER</w:t>
            </w:r>
          </w:p>
          <w:p>
            <w:pPr>
              <w:pBdr>
                <w:bottom w:val="single" w:color="888888" w:sz="6" w:space="2"/>
              </w:pBdr>
              <w:spacing w:after="26" w:before="300"/>
            </w:pPr>
            <w:r>
              <w:rPr>
                <w:sz w:val="21"/>
                <w:szCs w:val="21"/>
              </w:rPr>
              <w:t xml:space="preserve"/>
            </w:r>
          </w:p>
          <w:p>
            <w:pPr>
              <w:spacing w:after="14"/>
            </w:pPr>
            <w:r>
              <w:rPr>
                <w:color w:val="555555"/>
                <w:sz w:val="16"/>
                <w:szCs w:val="16"/>
              </w:rPr>
              <w:t xml:space="preserve">Signature of authorized individual</w:t>
            </w:r>
          </w:p>
          <w:p>
            <w:pPr>
              <w:pBdr>
                <w:bottom w:val="single" w:color="888888" w:sz="6" w:space="2"/>
              </w:pBdr>
              <w:spacing w:after="26" w:before="380"/>
            </w:pPr>
            <w:r>
              <w:rPr>
                <w:sz w:val="21"/>
                <w:szCs w:val="21"/>
              </w:rPr>
              <w:t xml:space="preserve"/>
            </w:r>
          </w:p>
          <w:p>
            <w:pPr>
              <w:spacing w:after="14"/>
            </w:pPr>
            <w:r>
              <w:rPr>
                <w:color w:val="555555"/>
                <w:sz w:val="16"/>
                <w:szCs w:val="16"/>
              </w:rPr>
              <w:t xml:space="preserve">Print name &amp; title</w:t>
            </w:r>
          </w:p>
          <w:p>
            <w:pPr>
              <w:pBdr>
                <w:bottom w:val="single" w:color="888888" w:sz="6" w:space="2"/>
              </w:pBdr>
              <w:spacing w:after="26" w:before="380"/>
            </w:pPr>
            <w:r>
              <w:rPr>
                <w:sz w:val="21"/>
                <w:szCs w:val="21"/>
              </w:rPr>
              <w:t xml:space="preserve"/>
            </w:r>
          </w:p>
          <w:p>
            <w:pPr>
              <w:spacing w:after="14"/>
            </w:pPr>
            <w:r>
              <w:rPr>
                <w:color w:val="555555"/>
                <w:sz w:val="16"/>
                <w:szCs w:val="16"/>
              </w:rPr>
              <w:t xml:space="preserve">Date</w:t>
            </w:r>
          </w:p>
        </w:tc>
      </w:tr>
    </w:tbl>
    <w:tbl>
      <w:tblPr>
        <w:tblW w:type="dxa" w:w="9360"/>
        <w:tblBorders>
          <w:top w:val="single" w:color="1a5c38" w:sz="8"/>
          <w:left w:val="single" w:color="1a5c38" w:sz="8"/>
          <w:bottom w:val="single" w:color="1a5c38" w:sz="8"/>
          <w:right w:val="single" w:color="1a5c38" w:sz="8"/>
          <w:insideH w:val="none"/>
          <w:insideV w:val="none"/>
        </w:tblBorders>
      </w:tblPr>
      <w:tblGrid>
        <w:gridCol w:w="9360"/>
      </w:tblGrid>
      <w:tr>
        <w:tc>
          <w:tcPr>
            <w:tcW w:type="dxa" w:w="9360"/>
            <w:tcBorders>
              <w:top w:val="none"/>
              <w:left w:val="none"/>
              <w:bottom w:val="none"/>
              <w:right w:val="none"/>
            </w:tcBorders>
            <w:tcMar>
              <w:top w:type="dxa" w:w="90"/>
              <w:left w:type="dxa" w:w="160"/>
              <w:bottom w:type="dxa" w:w="120"/>
              <w:right w:type="dxa" w:w="150"/>
            </w:tcMar>
          </w:tcPr>
          <w:p>
            <w:pPr>
              <w:spacing w:after="40"/>
            </w:pPr>
            <w:r>
              <w:rPr>
                <w:b/>
                <w:bCs/>
                <w:color w:val="1a5c38"/>
                <w:sz w:val="17"/>
                <w:szCs w:val="17"/>
              </w:rPr>
              <w:t xml:space="preserve">NOTES / SPECIAL TERMS</w:t>
            </w:r>
            <w:r>
              <w:rPr>
                <w:i/>
                <w:iCs/>
                <w:color w:val="555555"/>
                <w:sz w:val="16"/>
                <w:szCs w:val="16"/>
              </w:rPr>
              <w:t xml:space="preserve">   (if used, both parties initial and date here)</w:t>
            </w:r>
          </w:p>
          <w:p>
            <w:pPr>
              <w:pBdr>
                <w:bottom w:val="single" w:color="9aa39d" w:sz="6" w:space="3"/>
              </w:pBdr>
              <w:spacing w:after="6" w:before="300"/>
            </w:pPr>
            <w:r>
              <w:rPr>
                <w:sz w:val="20"/>
                <w:szCs w:val="20"/>
              </w:rPr>
              <w:t xml:space="preserve"/>
            </w:r>
          </w:p>
          <w:p>
            <w:pPr>
              <w:pBdr>
                <w:bottom w:val="single" w:color="9aa39d" w:sz="6" w:space="3"/>
              </w:pBdr>
              <w:spacing w:after="6" w:before="300"/>
            </w:pPr>
            <w:r>
              <w:rPr>
                <w:sz w:val="20"/>
                <w:szCs w:val="20"/>
              </w:rPr>
              <w:t xml:space="preserve"/>
            </w:r>
          </w:p>
        </w:tc>
      </w:tr>
    </w:tbl>
    <w:p>
      <w:pPr>
        <w:pBdr>
          <w:bottom w:val="single" w:color="cccccc" w:sz="6" w:space="1"/>
        </w:pBdr>
        <w:spacing w:after="80" w:before="120"/>
      </w:pPr>
      <w:r>
        <w:t xml:space="preserve"/>
      </w:r>
    </w:p>
    <w:p>
      <w:pPr>
        <w:spacing w:before="60"/>
      </w:pPr>
      <w:r>
        <w:rPr>
          <w:b/>
          <w:bCs/>
          <w:color w:val="555555"/>
          <w:sz w:val="16"/>
          <w:szCs w:val="16"/>
        </w:rPr>
        <w:t xml:space="preserve">Not legal advice.  </w:t>
      </w:r>
      <w:r>
        <w:rPr>
          <w:color w:val="555555"/>
          <w:sz w:val="16"/>
          <w:szCs w:val="16"/>
        </w:rPr>
        <w:t xml:space="preserve">This template reflects how ATM cash-loading arrangements are commonly structured, written independently for general use.  Rules vary by state; have a licensed attorney in your state review the final version before anyone signs.   © </w:t>
      </w:r>
      <w:r>
        <w:rPr>
          <w:b/>
          <w:bCs/>
          <w:color w:val="1a5c38"/>
          <w:sz w:val="16"/>
          <w:szCs w:val="16"/>
        </w:rPr>
        <w:t xml:space="preserve">ATMforSale.net</w:t>
      </w:r>
    </w:p>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jc w:val="center"/>
    </w:pPr>
    <w:r>
      <w:rPr>
        <w:color w:val="555555"/>
        <w:sz w:val="15"/>
        <w:szCs w:val="15"/>
      </w:rPr>
      <w:t xml:space="preserve">ATM Cash Loading Agreement     |     ATMforSale.net     |     Page </w:t>
    </w:r>
    <w:r>
      <w:rPr>
        <w:color w:val="5555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a1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ATM Cash Loading Agreement</dc:title>
  <dc:creator>ATMforSale.net</dc:creator>
  <cp:lastModifiedBy>Un-named</cp:lastModifiedBy>
  <cp:revision>1</cp:revision>
  <dcterms:created xsi:type="dcterms:W3CDTF">2026-08-08T22:46:12.553Z</dcterms:created>
  <dcterms:modified xsi:type="dcterms:W3CDTF">2026-08-08T22:46:12.561Z</dcterms:modified>
</cp:coreProperties>
</file>

<file path=docProps/custom.xml><?xml version="1.0" encoding="utf-8"?>
<Properties xmlns="http://schemas.openxmlformats.org/officeDocument/2006/custom-properties" xmlns:vt="http://schemas.openxmlformats.org/officeDocument/2006/docPropsVTypes"/>
</file>